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DA849">
      <w:pPr>
        <w:spacing w:before="312" w:after="312"/>
        <w:jc w:val="center"/>
        <w:rPr>
          <w:rFonts w:ascii="黑体" w:hAnsi="黑体" w:eastAsia="黑体"/>
          <w:b/>
          <w:w w:val="90"/>
          <w:sz w:val="36"/>
          <w:szCs w:val="36"/>
        </w:rPr>
      </w:pPr>
      <w:r>
        <w:rPr>
          <w:rFonts w:hint="eastAsia" w:ascii="黑体" w:hAnsi="黑体" w:eastAsia="黑体"/>
          <w:b/>
          <w:w w:val="90"/>
          <w:sz w:val="36"/>
          <w:szCs w:val="36"/>
        </w:rPr>
        <w:t>东南大学无锡校区</w:t>
      </w:r>
      <w:r>
        <w:rPr>
          <w:rFonts w:hint="eastAsia" w:ascii="黑体" w:hAnsi="黑体" w:eastAsia="黑体"/>
          <w:b/>
          <w:w w:val="90"/>
          <w:sz w:val="36"/>
          <w:szCs w:val="36"/>
          <w:lang w:val="en-US" w:eastAsia="zh-CN"/>
        </w:rPr>
        <w:t>三江</w:t>
      </w:r>
      <w:r>
        <w:rPr>
          <w:rFonts w:hint="eastAsia" w:ascii="黑体" w:hAnsi="黑体" w:eastAsia="黑体"/>
          <w:b/>
          <w:w w:val="90"/>
          <w:sz w:val="36"/>
          <w:szCs w:val="36"/>
        </w:rPr>
        <w:t>院</w:t>
      </w:r>
      <w:r>
        <w:rPr>
          <w:rFonts w:hint="eastAsia" w:ascii="黑体" w:hAnsi="黑体" w:eastAsia="黑体"/>
          <w:b/>
          <w:w w:val="90"/>
          <w:sz w:val="36"/>
          <w:szCs w:val="36"/>
          <w:lang w:val="en-US" w:eastAsia="zh-CN"/>
        </w:rPr>
        <w:t>C一楼测试间</w:t>
      </w:r>
      <w:r>
        <w:rPr>
          <w:rFonts w:hint="eastAsia" w:ascii="黑体" w:hAnsi="黑体" w:eastAsia="黑体"/>
          <w:b/>
          <w:w w:val="90"/>
          <w:sz w:val="36"/>
          <w:szCs w:val="36"/>
        </w:rPr>
        <w:t>改造工程</w:t>
      </w:r>
    </w:p>
    <w:p w14:paraId="47257319">
      <w:pPr>
        <w:spacing w:line="360" w:lineRule="auto"/>
        <w:ind w:firstLine="478" w:firstLineChars="196"/>
        <w:rPr>
          <w:rFonts w:asciiTheme="majorEastAsia" w:hAnsiTheme="majorEastAsia" w:eastAsiaTheme="majorEastAsia" w:cstheme="majorEastAsia"/>
          <w:bCs/>
          <w:color w:val="000000"/>
          <w:spacing w:val="2"/>
          <w:kern w:val="0"/>
          <w:sz w:val="24"/>
        </w:rPr>
      </w:pPr>
      <w:r>
        <w:rPr>
          <w:rFonts w:hint="eastAsia" w:asciiTheme="majorEastAsia" w:hAnsiTheme="majorEastAsia" w:eastAsiaTheme="majorEastAsia" w:cstheme="majorEastAsia"/>
          <w:bCs/>
          <w:color w:val="000000"/>
          <w:spacing w:val="2"/>
          <w:kern w:val="0"/>
          <w:sz w:val="24"/>
        </w:rPr>
        <w:t>东南大学无锡校区就校内</w:t>
      </w:r>
      <w:r>
        <w:rPr>
          <w:rFonts w:hint="eastAsia" w:asciiTheme="majorEastAsia" w:hAnsiTheme="majorEastAsia" w:eastAsiaTheme="majorEastAsia" w:cstheme="majorEastAsia"/>
          <w:bCs/>
          <w:color w:val="000000"/>
          <w:spacing w:val="2"/>
          <w:kern w:val="0"/>
          <w:sz w:val="24"/>
          <w:lang w:val="en-US" w:eastAsia="zh-CN"/>
        </w:rPr>
        <w:t>三江</w:t>
      </w:r>
      <w:r>
        <w:rPr>
          <w:rFonts w:hint="eastAsia" w:asciiTheme="majorEastAsia" w:hAnsiTheme="majorEastAsia" w:eastAsiaTheme="majorEastAsia" w:cstheme="majorEastAsia"/>
          <w:bCs/>
          <w:color w:val="000000"/>
          <w:spacing w:val="2"/>
          <w:kern w:val="0"/>
          <w:sz w:val="24"/>
        </w:rPr>
        <w:t>院</w:t>
      </w:r>
      <w:r>
        <w:rPr>
          <w:rFonts w:hint="eastAsia" w:asciiTheme="majorEastAsia" w:hAnsiTheme="majorEastAsia" w:eastAsiaTheme="majorEastAsia" w:cstheme="majorEastAsia"/>
          <w:bCs/>
          <w:color w:val="000000"/>
          <w:spacing w:val="2"/>
          <w:kern w:val="0"/>
          <w:sz w:val="24"/>
          <w:lang w:val="en-US" w:eastAsia="zh-CN"/>
        </w:rPr>
        <w:t>C一楼测试间改造</w:t>
      </w:r>
      <w:r>
        <w:rPr>
          <w:rFonts w:hint="eastAsia" w:asciiTheme="majorEastAsia" w:hAnsiTheme="majorEastAsia" w:eastAsiaTheme="majorEastAsia" w:cstheme="majorEastAsia"/>
          <w:bCs/>
          <w:color w:val="000000"/>
          <w:spacing w:val="2"/>
          <w:kern w:val="0"/>
          <w:sz w:val="24"/>
        </w:rPr>
        <w:t>工程通过询价方式选定供应商，现邀请合格供应商参加询价。</w:t>
      </w:r>
    </w:p>
    <w:p w14:paraId="3EEC4D47">
      <w:pPr>
        <w:numPr>
          <w:ilvl w:val="0"/>
          <w:numId w:val="1"/>
        </w:numPr>
        <w:spacing w:line="360" w:lineRule="auto"/>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询价项目名称：</w:t>
      </w:r>
      <w:r>
        <w:rPr>
          <w:rFonts w:hint="eastAsia" w:asciiTheme="majorEastAsia" w:hAnsiTheme="majorEastAsia" w:eastAsiaTheme="majorEastAsia" w:cstheme="majorEastAsia"/>
          <w:bCs/>
          <w:color w:val="000000"/>
          <w:spacing w:val="2"/>
          <w:kern w:val="0"/>
          <w:sz w:val="24"/>
          <w:lang w:val="en-US" w:eastAsia="zh-CN"/>
        </w:rPr>
        <w:t>三江院C一楼测试间</w:t>
      </w:r>
      <w:r>
        <w:rPr>
          <w:rFonts w:hint="eastAsia" w:asciiTheme="majorEastAsia" w:hAnsiTheme="majorEastAsia" w:eastAsiaTheme="majorEastAsia" w:cstheme="majorEastAsia"/>
          <w:bCs/>
          <w:color w:val="000000"/>
          <w:spacing w:val="2"/>
          <w:kern w:val="0"/>
          <w:sz w:val="24"/>
        </w:rPr>
        <w:t>改造工程</w:t>
      </w:r>
    </w:p>
    <w:p w14:paraId="5F7BAAF0">
      <w:pPr>
        <w:spacing w:line="360" w:lineRule="auto"/>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二、询价项目编号：</w:t>
      </w:r>
      <w:r>
        <w:rPr>
          <w:rFonts w:hint="eastAsia" w:asciiTheme="majorEastAsia" w:hAnsiTheme="majorEastAsia" w:eastAsiaTheme="majorEastAsia" w:cstheme="majorEastAsia"/>
          <w:color w:val="000000"/>
          <w:spacing w:val="2"/>
          <w:kern w:val="0"/>
          <w:sz w:val="24"/>
          <w:lang w:val="en-US" w:eastAsia="zh-CN"/>
        </w:rPr>
        <w:t>IC</w:t>
      </w:r>
      <w:r>
        <w:rPr>
          <w:rFonts w:asciiTheme="majorEastAsia" w:hAnsiTheme="majorEastAsia" w:eastAsiaTheme="majorEastAsia" w:cstheme="majorEastAsia"/>
          <w:color w:val="000000"/>
          <w:spacing w:val="2"/>
          <w:kern w:val="0"/>
          <w:sz w:val="24"/>
        </w:rPr>
        <w:t>202</w:t>
      </w:r>
      <w:r>
        <w:rPr>
          <w:rFonts w:hint="eastAsia" w:asciiTheme="majorEastAsia" w:hAnsiTheme="majorEastAsia" w:eastAsiaTheme="majorEastAsia" w:cstheme="majorEastAsia"/>
          <w:color w:val="000000"/>
          <w:spacing w:val="2"/>
          <w:kern w:val="0"/>
          <w:sz w:val="24"/>
          <w:lang w:val="en-US" w:eastAsia="zh-CN"/>
        </w:rPr>
        <w:t>6</w:t>
      </w:r>
      <w:r>
        <w:rPr>
          <w:rFonts w:asciiTheme="majorEastAsia" w:hAnsiTheme="majorEastAsia" w:eastAsiaTheme="majorEastAsia" w:cstheme="majorEastAsia"/>
          <w:color w:val="000000"/>
          <w:spacing w:val="2"/>
          <w:kern w:val="0"/>
          <w:sz w:val="24"/>
        </w:rPr>
        <w:t>-</w:t>
      </w:r>
      <w:r>
        <w:rPr>
          <w:rFonts w:hint="eastAsia" w:asciiTheme="majorEastAsia" w:hAnsiTheme="majorEastAsia" w:eastAsiaTheme="majorEastAsia" w:cstheme="majorEastAsia"/>
          <w:color w:val="000000"/>
          <w:spacing w:val="2"/>
          <w:kern w:val="0"/>
          <w:sz w:val="24"/>
          <w:lang w:val="en-US" w:eastAsia="zh-CN"/>
        </w:rPr>
        <w:t>01</w:t>
      </w:r>
      <w:r>
        <w:rPr>
          <w:rFonts w:asciiTheme="majorEastAsia" w:hAnsiTheme="majorEastAsia" w:eastAsiaTheme="majorEastAsia" w:cstheme="majorEastAsia"/>
          <w:color w:val="000000"/>
          <w:spacing w:val="2"/>
          <w:kern w:val="0"/>
          <w:sz w:val="24"/>
        </w:rPr>
        <w:t>-</w:t>
      </w:r>
      <w:r>
        <w:rPr>
          <w:rFonts w:hint="eastAsia" w:asciiTheme="majorEastAsia" w:hAnsiTheme="majorEastAsia" w:eastAsiaTheme="majorEastAsia" w:cstheme="majorEastAsia"/>
          <w:color w:val="000000"/>
          <w:spacing w:val="2"/>
          <w:kern w:val="0"/>
          <w:sz w:val="24"/>
          <w:lang w:val="en-US" w:eastAsia="zh-CN"/>
        </w:rPr>
        <w:t>26</w:t>
      </w:r>
      <w:r>
        <w:rPr>
          <w:rFonts w:hint="eastAsia" w:asciiTheme="majorEastAsia" w:hAnsiTheme="majorEastAsia" w:eastAsiaTheme="majorEastAsia" w:cstheme="majorEastAsia"/>
          <w:color w:val="000000"/>
          <w:spacing w:val="2"/>
          <w:kern w:val="0"/>
          <w:sz w:val="24"/>
        </w:rPr>
        <w:t xml:space="preserve">　 </w:t>
      </w:r>
    </w:p>
    <w:p w14:paraId="524DFB59">
      <w:pPr>
        <w:spacing w:line="360" w:lineRule="auto"/>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三、询价项目工程概况：</w:t>
      </w:r>
    </w:p>
    <w:p w14:paraId="36063D45">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1、施工范围：</w:t>
      </w:r>
      <w:r>
        <w:rPr>
          <w:rFonts w:hint="eastAsia" w:asciiTheme="majorEastAsia" w:hAnsiTheme="majorEastAsia" w:eastAsiaTheme="majorEastAsia" w:cstheme="majorEastAsia"/>
          <w:color w:val="000000"/>
          <w:spacing w:val="2"/>
          <w:kern w:val="0"/>
          <w:sz w:val="24"/>
          <w:lang w:val="en-US" w:eastAsia="zh-CN"/>
        </w:rPr>
        <w:t>三江</w:t>
      </w:r>
      <w:r>
        <w:rPr>
          <w:rFonts w:hint="eastAsia" w:asciiTheme="majorEastAsia" w:hAnsiTheme="majorEastAsia" w:eastAsiaTheme="majorEastAsia" w:cstheme="majorEastAsia"/>
          <w:bCs/>
          <w:color w:val="000000"/>
          <w:spacing w:val="2"/>
          <w:kern w:val="0"/>
          <w:sz w:val="24"/>
        </w:rPr>
        <w:t>院</w:t>
      </w:r>
      <w:r>
        <w:rPr>
          <w:rFonts w:hint="eastAsia" w:asciiTheme="majorEastAsia" w:hAnsiTheme="majorEastAsia" w:eastAsiaTheme="majorEastAsia" w:cstheme="majorEastAsia"/>
          <w:bCs/>
          <w:color w:val="000000"/>
          <w:spacing w:val="2"/>
          <w:kern w:val="0"/>
          <w:sz w:val="24"/>
          <w:lang w:val="en-US" w:eastAsia="zh-CN"/>
        </w:rPr>
        <w:t>C一楼测试间</w:t>
      </w:r>
      <w:r>
        <w:rPr>
          <w:rFonts w:hint="eastAsia" w:asciiTheme="majorEastAsia" w:hAnsiTheme="majorEastAsia" w:eastAsiaTheme="majorEastAsia" w:cstheme="majorEastAsia"/>
          <w:color w:val="000000"/>
          <w:spacing w:val="2"/>
          <w:kern w:val="0"/>
          <w:sz w:val="24"/>
        </w:rPr>
        <w:t>。</w:t>
      </w:r>
    </w:p>
    <w:p w14:paraId="176DD9E6">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2、施工地点：东南大学无锡校区。</w:t>
      </w:r>
    </w:p>
    <w:p w14:paraId="52AC1090">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3、最高限价：</w:t>
      </w:r>
      <w:r>
        <w:rPr>
          <w:rFonts w:hint="eastAsia" w:asciiTheme="majorEastAsia" w:hAnsiTheme="majorEastAsia" w:eastAsiaTheme="majorEastAsia" w:cstheme="majorEastAsia"/>
          <w:color w:val="000000"/>
          <w:spacing w:val="2"/>
          <w:kern w:val="0"/>
          <w:sz w:val="24"/>
          <w:highlight w:val="none"/>
          <w:lang w:eastAsia="zh-CN"/>
        </w:rPr>
        <w:t>1</w:t>
      </w:r>
      <w:r>
        <w:rPr>
          <w:rFonts w:hint="eastAsia" w:asciiTheme="majorEastAsia" w:hAnsiTheme="majorEastAsia" w:eastAsiaTheme="majorEastAsia" w:cstheme="majorEastAsia"/>
          <w:color w:val="000000"/>
          <w:spacing w:val="2"/>
          <w:kern w:val="0"/>
          <w:sz w:val="24"/>
          <w:highlight w:val="none"/>
          <w:lang w:val="en-US" w:eastAsia="zh-CN"/>
        </w:rPr>
        <w:t>4.5</w:t>
      </w:r>
      <w:r>
        <w:rPr>
          <w:rFonts w:asciiTheme="majorEastAsia" w:hAnsiTheme="majorEastAsia" w:eastAsiaTheme="majorEastAsia" w:cstheme="majorEastAsia"/>
          <w:color w:val="000000"/>
          <w:spacing w:val="2"/>
          <w:kern w:val="0"/>
          <w:sz w:val="24"/>
          <w:highlight w:val="none"/>
        </w:rPr>
        <w:t>万</w:t>
      </w:r>
      <w:r>
        <w:rPr>
          <w:rFonts w:asciiTheme="majorEastAsia" w:hAnsiTheme="majorEastAsia" w:eastAsiaTheme="majorEastAsia" w:cstheme="majorEastAsia"/>
          <w:color w:val="000000"/>
          <w:spacing w:val="2"/>
          <w:kern w:val="0"/>
          <w:sz w:val="24"/>
        </w:rPr>
        <w:t>元</w:t>
      </w:r>
    </w:p>
    <w:p w14:paraId="0622363B">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4、采购需求：详见工程量清单</w:t>
      </w:r>
    </w:p>
    <w:p w14:paraId="7516BF77">
      <w:pPr>
        <w:spacing w:line="360" w:lineRule="auto"/>
        <w:ind w:firstLine="488" w:firstLineChars="200"/>
        <w:rPr>
          <w:rFonts w:asciiTheme="majorEastAsia" w:hAnsiTheme="majorEastAsia" w:eastAsiaTheme="majorEastAsia" w:cstheme="majorEastAsia"/>
          <w:color w:val="000000"/>
          <w:spacing w:val="2"/>
          <w:kern w:val="0"/>
          <w:sz w:val="24"/>
        </w:rPr>
      </w:pPr>
      <w:r>
        <w:rPr>
          <w:rFonts w:asciiTheme="majorEastAsia" w:hAnsiTheme="majorEastAsia" w:eastAsiaTheme="majorEastAsia" w:cstheme="majorEastAsia"/>
          <w:color w:val="000000"/>
          <w:spacing w:val="2"/>
          <w:kern w:val="0"/>
          <w:sz w:val="24"/>
        </w:rPr>
        <w:t>5</w:t>
      </w:r>
      <w:r>
        <w:rPr>
          <w:rFonts w:hint="eastAsia" w:asciiTheme="majorEastAsia" w:hAnsiTheme="majorEastAsia" w:eastAsiaTheme="majorEastAsia" w:cstheme="majorEastAsia"/>
          <w:color w:val="000000"/>
          <w:spacing w:val="2"/>
          <w:kern w:val="0"/>
          <w:sz w:val="24"/>
        </w:rPr>
        <w:t>、工期要求：合同生效后</w:t>
      </w:r>
      <w:r>
        <w:rPr>
          <w:rFonts w:hint="eastAsia" w:asciiTheme="majorEastAsia" w:hAnsiTheme="majorEastAsia" w:eastAsiaTheme="majorEastAsia" w:cstheme="majorEastAsia"/>
          <w:bCs/>
          <w:color w:val="000000"/>
          <w:spacing w:val="2"/>
          <w:kern w:val="0"/>
          <w:sz w:val="24"/>
          <w:lang w:val="en-US" w:eastAsia="zh-CN"/>
        </w:rPr>
        <w:t>30</w:t>
      </w:r>
      <w:r>
        <w:rPr>
          <w:rFonts w:hint="eastAsia" w:asciiTheme="majorEastAsia" w:hAnsiTheme="majorEastAsia" w:eastAsiaTheme="majorEastAsia" w:cstheme="majorEastAsia"/>
          <w:bCs/>
          <w:color w:val="000000"/>
          <w:spacing w:val="2"/>
          <w:kern w:val="0"/>
          <w:sz w:val="24"/>
        </w:rPr>
        <w:t>天</w:t>
      </w:r>
      <w:r>
        <w:rPr>
          <w:rFonts w:hint="eastAsia" w:asciiTheme="majorEastAsia" w:hAnsiTheme="majorEastAsia" w:eastAsiaTheme="majorEastAsia" w:cstheme="majorEastAsia"/>
          <w:color w:val="000000"/>
          <w:spacing w:val="2"/>
          <w:kern w:val="0"/>
          <w:sz w:val="24"/>
        </w:rPr>
        <w:t>内完成。</w:t>
      </w:r>
    </w:p>
    <w:p w14:paraId="686BF2BF">
      <w:pPr>
        <w:spacing w:line="360" w:lineRule="auto"/>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四、 要求承包商资格条件：</w:t>
      </w:r>
    </w:p>
    <w:p w14:paraId="5320545C">
      <w:pPr>
        <w:spacing w:line="360" w:lineRule="auto"/>
        <w:rPr>
          <w:rFonts w:asciiTheme="majorEastAsia" w:hAnsiTheme="majorEastAsia" w:eastAsiaTheme="majorEastAsia" w:cstheme="majorEastAsia"/>
          <w:bCs/>
          <w:color w:val="000000"/>
          <w:spacing w:val="2"/>
          <w:kern w:val="0"/>
          <w:sz w:val="24"/>
        </w:rPr>
      </w:pPr>
      <w:r>
        <w:rPr>
          <w:rFonts w:hint="eastAsia" w:asciiTheme="majorEastAsia" w:hAnsiTheme="majorEastAsia" w:eastAsiaTheme="majorEastAsia" w:cstheme="majorEastAsia"/>
          <w:color w:val="000000"/>
          <w:spacing w:val="2"/>
          <w:kern w:val="0"/>
          <w:sz w:val="24"/>
        </w:rPr>
        <w:t>  </w:t>
      </w:r>
      <w:r>
        <w:rPr>
          <w:rFonts w:hint="eastAsia" w:asciiTheme="majorEastAsia" w:hAnsiTheme="majorEastAsia" w:eastAsiaTheme="majorEastAsia" w:cstheme="majorEastAsia"/>
          <w:bCs/>
          <w:color w:val="000000"/>
          <w:spacing w:val="2"/>
          <w:kern w:val="0"/>
          <w:sz w:val="24"/>
        </w:rPr>
        <w:t>1、投标人具有建筑装饰装修工程专业承包二级（含）以上资质，并且具有有效期内的安全生产许可证（须提供证明材料复印件加盖供应商公章，否则视为未提供）</w:t>
      </w:r>
    </w:p>
    <w:p w14:paraId="4629AD30">
      <w:pPr>
        <w:spacing w:line="360" w:lineRule="auto"/>
        <w:ind w:firstLine="488" w:firstLineChars="200"/>
        <w:rPr>
          <w:rFonts w:asciiTheme="majorEastAsia" w:hAnsiTheme="majorEastAsia" w:eastAsiaTheme="majorEastAsia" w:cstheme="majorEastAsia"/>
          <w:bCs/>
          <w:color w:val="000000"/>
          <w:spacing w:val="2"/>
          <w:kern w:val="0"/>
          <w:sz w:val="24"/>
        </w:rPr>
      </w:pPr>
      <w:r>
        <w:rPr>
          <w:rFonts w:hint="eastAsia" w:asciiTheme="majorEastAsia" w:hAnsiTheme="majorEastAsia" w:eastAsiaTheme="majorEastAsia" w:cstheme="majorEastAsia"/>
          <w:bCs/>
          <w:color w:val="000000"/>
          <w:spacing w:val="2"/>
          <w:kern w:val="0"/>
          <w:sz w:val="24"/>
        </w:rPr>
        <w:t>2、投标人在人员、设备、资金等方面具有相应的施工能力。</w:t>
      </w:r>
    </w:p>
    <w:p w14:paraId="7C11234C">
      <w:pPr>
        <w:spacing w:line="360" w:lineRule="auto"/>
        <w:ind w:firstLine="488" w:firstLineChars="200"/>
        <w:rPr>
          <w:rFonts w:asciiTheme="majorEastAsia" w:hAnsiTheme="majorEastAsia" w:eastAsiaTheme="majorEastAsia" w:cstheme="majorEastAsia"/>
          <w:bCs/>
          <w:color w:val="000000"/>
          <w:spacing w:val="2"/>
          <w:kern w:val="0"/>
          <w:sz w:val="24"/>
        </w:rPr>
      </w:pPr>
      <w:r>
        <w:rPr>
          <w:rFonts w:hint="eastAsia" w:asciiTheme="majorEastAsia" w:hAnsiTheme="majorEastAsia" w:eastAsiaTheme="majorEastAsia" w:cstheme="majorEastAsia"/>
          <w:bCs/>
          <w:color w:val="000000"/>
          <w:spacing w:val="2"/>
          <w:kern w:val="0"/>
          <w:sz w:val="24"/>
        </w:rPr>
        <w:t>3、投标人拟派的项目负责人具有注册建造师建筑工程二级（含）以上证书，取得项目经理安全生产考核证（B类证）且出具近半年（2</w:t>
      </w:r>
      <w:r>
        <w:rPr>
          <w:rFonts w:asciiTheme="majorEastAsia" w:hAnsiTheme="majorEastAsia" w:eastAsiaTheme="majorEastAsia" w:cstheme="majorEastAsia"/>
          <w:bCs/>
          <w:color w:val="000000"/>
          <w:spacing w:val="2"/>
          <w:kern w:val="0"/>
          <w:sz w:val="24"/>
        </w:rPr>
        <w:t>02</w:t>
      </w:r>
      <w:r>
        <w:rPr>
          <w:rFonts w:hint="eastAsia" w:asciiTheme="majorEastAsia" w:hAnsiTheme="majorEastAsia" w:eastAsiaTheme="majorEastAsia" w:cstheme="majorEastAsia"/>
          <w:bCs/>
          <w:color w:val="000000"/>
          <w:spacing w:val="2"/>
          <w:kern w:val="0"/>
          <w:sz w:val="24"/>
          <w:lang w:val="en-US" w:eastAsia="zh-CN"/>
        </w:rPr>
        <w:t>5</w:t>
      </w:r>
      <w:r>
        <w:rPr>
          <w:rFonts w:asciiTheme="majorEastAsia" w:hAnsiTheme="majorEastAsia" w:eastAsiaTheme="majorEastAsia" w:cstheme="majorEastAsia"/>
          <w:bCs/>
          <w:color w:val="000000"/>
          <w:spacing w:val="2"/>
          <w:kern w:val="0"/>
          <w:sz w:val="24"/>
        </w:rPr>
        <w:t>年</w:t>
      </w:r>
      <w:r>
        <w:rPr>
          <w:rFonts w:hint="eastAsia" w:asciiTheme="majorEastAsia" w:hAnsiTheme="majorEastAsia" w:eastAsiaTheme="majorEastAsia" w:cstheme="majorEastAsia"/>
          <w:bCs/>
          <w:color w:val="000000"/>
          <w:spacing w:val="2"/>
          <w:kern w:val="0"/>
          <w:sz w:val="24"/>
          <w:lang w:val="en-US" w:eastAsia="zh-CN"/>
        </w:rPr>
        <w:t>7</w:t>
      </w:r>
      <w:r>
        <w:rPr>
          <w:rFonts w:hint="eastAsia" w:asciiTheme="majorEastAsia" w:hAnsiTheme="majorEastAsia" w:eastAsiaTheme="majorEastAsia" w:cstheme="majorEastAsia"/>
          <w:bCs/>
          <w:color w:val="000000"/>
          <w:spacing w:val="2"/>
          <w:kern w:val="0"/>
          <w:sz w:val="24"/>
        </w:rPr>
        <w:t>月至2</w:t>
      </w:r>
      <w:r>
        <w:rPr>
          <w:rFonts w:asciiTheme="majorEastAsia" w:hAnsiTheme="majorEastAsia" w:eastAsiaTheme="majorEastAsia" w:cstheme="majorEastAsia"/>
          <w:bCs/>
          <w:color w:val="000000"/>
          <w:spacing w:val="2"/>
          <w:kern w:val="0"/>
          <w:sz w:val="24"/>
        </w:rPr>
        <w:t>02</w:t>
      </w:r>
      <w:r>
        <w:rPr>
          <w:rFonts w:hint="eastAsia" w:asciiTheme="majorEastAsia" w:hAnsiTheme="majorEastAsia" w:eastAsiaTheme="majorEastAsia" w:cstheme="majorEastAsia"/>
          <w:bCs/>
          <w:color w:val="000000"/>
          <w:spacing w:val="2"/>
          <w:kern w:val="0"/>
          <w:sz w:val="24"/>
          <w:lang w:val="en-US" w:eastAsia="zh-CN"/>
        </w:rPr>
        <w:t>5</w:t>
      </w:r>
      <w:r>
        <w:rPr>
          <w:rFonts w:asciiTheme="majorEastAsia" w:hAnsiTheme="majorEastAsia" w:eastAsiaTheme="majorEastAsia" w:cstheme="majorEastAsia"/>
          <w:bCs/>
          <w:color w:val="000000"/>
          <w:spacing w:val="2"/>
          <w:kern w:val="0"/>
          <w:sz w:val="24"/>
        </w:rPr>
        <w:t>年</w:t>
      </w:r>
      <w:r>
        <w:rPr>
          <w:rFonts w:hint="eastAsia" w:asciiTheme="majorEastAsia" w:hAnsiTheme="majorEastAsia" w:eastAsiaTheme="majorEastAsia" w:cstheme="majorEastAsia"/>
          <w:bCs/>
          <w:color w:val="000000"/>
          <w:spacing w:val="2"/>
          <w:kern w:val="0"/>
          <w:sz w:val="24"/>
          <w:lang w:val="en-US" w:eastAsia="zh-CN"/>
        </w:rPr>
        <w:t>12</w:t>
      </w:r>
      <w:r>
        <w:rPr>
          <w:rFonts w:asciiTheme="majorEastAsia" w:hAnsiTheme="majorEastAsia" w:eastAsiaTheme="majorEastAsia" w:cstheme="majorEastAsia"/>
          <w:bCs/>
          <w:color w:val="000000"/>
          <w:spacing w:val="2"/>
          <w:kern w:val="0"/>
          <w:sz w:val="24"/>
        </w:rPr>
        <w:t>月</w:t>
      </w:r>
      <w:r>
        <w:rPr>
          <w:rFonts w:hint="eastAsia" w:asciiTheme="majorEastAsia" w:hAnsiTheme="majorEastAsia" w:eastAsiaTheme="majorEastAsia" w:cstheme="majorEastAsia"/>
          <w:bCs/>
          <w:color w:val="000000"/>
          <w:spacing w:val="2"/>
          <w:kern w:val="0"/>
          <w:sz w:val="24"/>
        </w:rPr>
        <w:t>）投标人为项目负责人缴纳的社会保险缴费证明材料，并加盖社保中心章或社保中心参保缴费证明电子专用章。若项目负责人属企业退休人员、现役军人等客观原因无法提供养老保险金缴费证明，必须提供相应的证明材料，事业编制人员提供投标单位上级人事主管部门的人事证明，否则一律按未提供养老保险金缴费证明材料处理。</w:t>
      </w:r>
    </w:p>
    <w:p w14:paraId="4844DA8B">
      <w:pPr>
        <w:spacing w:line="360" w:lineRule="auto"/>
        <w:ind w:firstLine="488" w:firstLineChars="200"/>
        <w:rPr>
          <w:rFonts w:asciiTheme="majorEastAsia" w:hAnsiTheme="majorEastAsia" w:eastAsiaTheme="majorEastAsia" w:cstheme="majorEastAsia"/>
          <w:bCs/>
          <w:color w:val="000000"/>
          <w:spacing w:val="2"/>
          <w:kern w:val="0"/>
          <w:sz w:val="24"/>
        </w:rPr>
      </w:pPr>
      <w:r>
        <w:rPr>
          <w:rFonts w:hint="eastAsia" w:asciiTheme="majorEastAsia" w:hAnsiTheme="majorEastAsia" w:eastAsiaTheme="majorEastAsia" w:cstheme="majorEastAsia"/>
          <w:bCs/>
          <w:color w:val="000000"/>
          <w:spacing w:val="2"/>
          <w:kern w:val="0"/>
          <w:sz w:val="24"/>
        </w:rPr>
        <w:t>4、项目负责人必须同时满足下列条件：</w:t>
      </w:r>
    </w:p>
    <w:p w14:paraId="304B37A6">
      <w:pPr>
        <w:spacing w:line="360" w:lineRule="auto"/>
        <w:ind w:firstLine="488" w:firstLineChars="200"/>
        <w:rPr>
          <w:rFonts w:asciiTheme="majorEastAsia" w:hAnsiTheme="majorEastAsia" w:eastAsiaTheme="majorEastAsia" w:cstheme="majorEastAsia"/>
          <w:bCs/>
          <w:color w:val="000000"/>
          <w:spacing w:val="2"/>
          <w:kern w:val="0"/>
          <w:sz w:val="24"/>
        </w:rPr>
      </w:pPr>
      <w:r>
        <w:rPr>
          <w:rFonts w:asciiTheme="majorEastAsia" w:hAnsiTheme="majorEastAsia" w:eastAsiaTheme="majorEastAsia" w:cstheme="majorEastAsia"/>
          <w:bCs/>
          <w:color w:val="000000"/>
          <w:spacing w:val="2"/>
          <w:kern w:val="0"/>
          <w:sz w:val="24"/>
        </w:rPr>
        <w:t>a.项目负责人不得同时在两个或者两个以上单位受聘或者执业</w:t>
      </w:r>
      <w:r>
        <w:rPr>
          <w:rFonts w:hint="eastAsia" w:asciiTheme="majorEastAsia" w:hAnsiTheme="majorEastAsia" w:eastAsiaTheme="majorEastAsia" w:cstheme="majorEastAsia"/>
          <w:bCs/>
          <w:color w:val="000000"/>
          <w:spacing w:val="2"/>
          <w:kern w:val="0"/>
          <w:sz w:val="24"/>
        </w:rPr>
        <w:t>（符合并提供承诺书）；</w:t>
      </w:r>
    </w:p>
    <w:p w14:paraId="70D0A2C0">
      <w:pPr>
        <w:spacing w:line="360" w:lineRule="auto"/>
        <w:ind w:firstLine="488" w:firstLineChars="200"/>
        <w:rPr>
          <w:rFonts w:asciiTheme="majorEastAsia" w:hAnsiTheme="majorEastAsia" w:eastAsiaTheme="majorEastAsia" w:cstheme="majorEastAsia"/>
          <w:bCs/>
          <w:color w:val="000000"/>
          <w:spacing w:val="2"/>
          <w:kern w:val="0"/>
          <w:sz w:val="24"/>
        </w:rPr>
      </w:pPr>
      <w:r>
        <w:rPr>
          <w:rFonts w:asciiTheme="majorEastAsia" w:hAnsiTheme="majorEastAsia" w:eastAsiaTheme="majorEastAsia" w:cstheme="majorEastAsia"/>
          <w:bCs/>
          <w:color w:val="000000"/>
          <w:spacing w:val="2"/>
          <w:kern w:val="0"/>
          <w:sz w:val="24"/>
        </w:rPr>
        <w:t>b.</w:t>
      </w:r>
      <w:r>
        <w:rPr>
          <w:rFonts w:hint="eastAsia"/>
        </w:rPr>
        <w:t xml:space="preserve"> </w:t>
      </w:r>
      <w:r>
        <w:rPr>
          <w:rFonts w:hint="eastAsia" w:asciiTheme="majorEastAsia" w:hAnsiTheme="majorEastAsia" w:eastAsiaTheme="majorEastAsia" w:cstheme="majorEastAsia"/>
          <w:bCs/>
          <w:color w:val="000000"/>
          <w:spacing w:val="2"/>
          <w:kern w:val="0"/>
          <w:sz w:val="24"/>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符合并提供承诺书）；</w:t>
      </w:r>
    </w:p>
    <w:p w14:paraId="63BB7C27">
      <w:pPr>
        <w:spacing w:line="360" w:lineRule="auto"/>
        <w:ind w:firstLine="488" w:firstLineChars="200"/>
        <w:rPr>
          <w:rFonts w:asciiTheme="majorEastAsia" w:hAnsiTheme="majorEastAsia" w:eastAsiaTheme="majorEastAsia" w:cstheme="majorEastAsia"/>
          <w:bCs/>
          <w:color w:val="000000"/>
          <w:spacing w:val="2"/>
          <w:kern w:val="0"/>
          <w:sz w:val="24"/>
        </w:rPr>
      </w:pPr>
      <w:r>
        <w:rPr>
          <w:rFonts w:asciiTheme="majorEastAsia" w:hAnsiTheme="majorEastAsia" w:eastAsiaTheme="majorEastAsia" w:cstheme="majorEastAsia"/>
          <w:bCs/>
          <w:color w:val="000000"/>
          <w:spacing w:val="2"/>
          <w:kern w:val="0"/>
          <w:sz w:val="24"/>
        </w:rPr>
        <w:t>c.</w:t>
      </w:r>
      <w:r>
        <w:rPr>
          <w:rFonts w:hint="eastAsia" w:asciiTheme="majorEastAsia" w:hAnsiTheme="majorEastAsia" w:eastAsiaTheme="majorEastAsia" w:cstheme="majorEastAsia"/>
          <w:bCs/>
          <w:color w:val="000000"/>
          <w:spacing w:val="2"/>
          <w:kern w:val="0"/>
          <w:sz w:val="24"/>
        </w:rPr>
        <w:t xml:space="preserve"> 项目负责人无行贿犯罪行为记录；或者有行贿犯罪行为记录，但自记录之日起已超过5年的（符合并提供承诺书)</w:t>
      </w:r>
      <w:r>
        <w:rPr>
          <w:rFonts w:asciiTheme="majorEastAsia" w:hAnsiTheme="majorEastAsia" w:eastAsiaTheme="majorEastAsia" w:cstheme="majorEastAsia"/>
          <w:bCs/>
          <w:color w:val="000000"/>
          <w:spacing w:val="2"/>
          <w:kern w:val="0"/>
          <w:sz w:val="24"/>
        </w:rPr>
        <w:t xml:space="preserve"> </w:t>
      </w:r>
      <w:r>
        <w:rPr>
          <w:rFonts w:hint="eastAsia" w:asciiTheme="majorEastAsia" w:hAnsiTheme="majorEastAsia" w:eastAsiaTheme="majorEastAsia" w:cstheme="majorEastAsia"/>
          <w:bCs/>
          <w:color w:val="000000"/>
          <w:spacing w:val="2"/>
          <w:kern w:val="0"/>
          <w:sz w:val="24"/>
        </w:rPr>
        <w:t>。</w:t>
      </w:r>
    </w:p>
    <w:p w14:paraId="39A89FD3">
      <w:pPr>
        <w:spacing w:line="360" w:lineRule="auto"/>
        <w:ind w:firstLine="488" w:firstLineChars="200"/>
        <w:rPr>
          <w:rFonts w:asciiTheme="majorEastAsia" w:hAnsiTheme="majorEastAsia" w:eastAsiaTheme="majorEastAsia" w:cstheme="majorEastAsia"/>
          <w:bCs/>
          <w:color w:val="000000"/>
          <w:spacing w:val="2"/>
          <w:kern w:val="0"/>
          <w:sz w:val="24"/>
        </w:rPr>
      </w:pPr>
      <w:r>
        <w:rPr>
          <w:rFonts w:hint="eastAsia" w:asciiTheme="majorEastAsia" w:hAnsiTheme="majorEastAsia" w:eastAsiaTheme="majorEastAsia" w:cstheme="majorEastAsia"/>
          <w:bCs/>
          <w:color w:val="000000"/>
          <w:spacing w:val="2"/>
          <w:kern w:val="0"/>
          <w:sz w:val="24"/>
        </w:rPr>
        <w:t>5、本工程不接受联合体投标。</w:t>
      </w:r>
    </w:p>
    <w:p w14:paraId="73217F0A">
      <w:pPr>
        <w:spacing w:line="360" w:lineRule="auto"/>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五、 承包商资格审查方式：资格后审。</w:t>
      </w:r>
    </w:p>
    <w:p w14:paraId="7D245CEA">
      <w:pPr>
        <w:spacing w:line="360" w:lineRule="auto"/>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六、询价截止时间及评定时间： 20</w:t>
      </w:r>
      <w:r>
        <w:rPr>
          <w:rFonts w:hint="eastAsia" w:asciiTheme="majorEastAsia" w:hAnsiTheme="majorEastAsia" w:eastAsiaTheme="majorEastAsia" w:cstheme="majorEastAsia"/>
          <w:color w:val="000000"/>
          <w:spacing w:val="2"/>
          <w:kern w:val="0"/>
          <w:sz w:val="24"/>
          <w:lang w:val="en-US" w:eastAsia="zh-CN"/>
        </w:rPr>
        <w:t>26</w:t>
      </w:r>
      <w:r>
        <w:rPr>
          <w:rFonts w:hint="eastAsia" w:asciiTheme="majorEastAsia" w:hAnsiTheme="majorEastAsia" w:eastAsiaTheme="majorEastAsia" w:cstheme="majorEastAsia"/>
          <w:color w:val="000000"/>
          <w:spacing w:val="2"/>
          <w:kern w:val="0"/>
          <w:sz w:val="24"/>
        </w:rPr>
        <w:t>年</w:t>
      </w:r>
      <w:r>
        <w:rPr>
          <w:rFonts w:hint="eastAsia" w:asciiTheme="majorEastAsia" w:hAnsiTheme="majorEastAsia" w:eastAsiaTheme="majorEastAsia" w:cstheme="majorEastAsia"/>
          <w:color w:val="000000"/>
          <w:spacing w:val="2"/>
          <w:kern w:val="0"/>
          <w:sz w:val="24"/>
          <w:lang w:val="en-US" w:eastAsia="zh-CN"/>
        </w:rPr>
        <w:t>2</w:t>
      </w:r>
      <w:r>
        <w:rPr>
          <w:rFonts w:hint="eastAsia" w:asciiTheme="majorEastAsia" w:hAnsiTheme="majorEastAsia" w:eastAsiaTheme="majorEastAsia" w:cstheme="majorEastAsia"/>
          <w:color w:val="000000"/>
          <w:spacing w:val="2"/>
          <w:kern w:val="0"/>
          <w:sz w:val="24"/>
        </w:rPr>
        <w:t>月</w:t>
      </w:r>
      <w:r>
        <w:rPr>
          <w:rFonts w:hint="eastAsia" w:asciiTheme="majorEastAsia" w:hAnsiTheme="majorEastAsia" w:eastAsiaTheme="majorEastAsia" w:cstheme="majorEastAsia"/>
          <w:color w:val="000000"/>
          <w:spacing w:val="2"/>
          <w:kern w:val="0"/>
          <w:sz w:val="24"/>
          <w:lang w:val="en-US" w:eastAsia="zh-CN"/>
        </w:rPr>
        <w:t>3</w:t>
      </w:r>
      <w:r>
        <w:rPr>
          <w:rFonts w:hint="eastAsia" w:asciiTheme="majorEastAsia" w:hAnsiTheme="majorEastAsia" w:eastAsiaTheme="majorEastAsia" w:cstheme="majorEastAsia"/>
          <w:color w:val="000000"/>
          <w:spacing w:val="2"/>
          <w:kern w:val="0"/>
          <w:sz w:val="24"/>
        </w:rPr>
        <w:t>日</w:t>
      </w:r>
      <w:r>
        <w:rPr>
          <w:rFonts w:asciiTheme="majorEastAsia" w:hAnsiTheme="majorEastAsia" w:eastAsiaTheme="majorEastAsia" w:cstheme="majorEastAsia"/>
          <w:color w:val="000000"/>
          <w:spacing w:val="2"/>
          <w:kern w:val="0"/>
          <w:sz w:val="24"/>
        </w:rPr>
        <w:t>10</w:t>
      </w:r>
      <w:r>
        <w:rPr>
          <w:rFonts w:hint="eastAsia" w:asciiTheme="majorEastAsia" w:hAnsiTheme="majorEastAsia" w:eastAsiaTheme="majorEastAsia" w:cstheme="majorEastAsia"/>
          <w:color w:val="000000"/>
          <w:spacing w:val="2"/>
          <w:kern w:val="0"/>
          <w:sz w:val="24"/>
        </w:rPr>
        <w:t>时00分</w:t>
      </w:r>
    </w:p>
    <w:p w14:paraId="068435D8">
      <w:pPr>
        <w:spacing w:line="360" w:lineRule="auto"/>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七、询价地点：无锡市滨湖区雪浪街道状元路5号东南大学无锡校区</w:t>
      </w:r>
      <w:r>
        <w:rPr>
          <w:rFonts w:hint="eastAsia" w:asciiTheme="majorEastAsia" w:hAnsiTheme="majorEastAsia" w:eastAsiaTheme="majorEastAsia" w:cstheme="majorEastAsia"/>
          <w:color w:val="000000"/>
          <w:spacing w:val="2"/>
          <w:kern w:val="0"/>
          <w:sz w:val="24"/>
          <w:lang w:val="en-US" w:eastAsia="zh-CN"/>
        </w:rPr>
        <w:t>三江院A213</w:t>
      </w:r>
      <w:r>
        <w:rPr>
          <w:rFonts w:hint="eastAsia" w:asciiTheme="majorEastAsia" w:hAnsiTheme="majorEastAsia" w:eastAsiaTheme="majorEastAsia" w:cstheme="majorEastAsia"/>
          <w:color w:val="000000"/>
          <w:spacing w:val="2"/>
          <w:kern w:val="0"/>
          <w:sz w:val="24"/>
        </w:rPr>
        <w:t>会议室（联系人：</w:t>
      </w:r>
      <w:r>
        <w:rPr>
          <w:rFonts w:hint="eastAsia" w:asciiTheme="majorEastAsia" w:hAnsiTheme="majorEastAsia" w:eastAsiaTheme="majorEastAsia" w:cstheme="majorEastAsia"/>
          <w:color w:val="000000"/>
          <w:spacing w:val="2"/>
          <w:kern w:val="0"/>
          <w:sz w:val="24"/>
          <w:lang w:val="en-US" w:eastAsia="zh-CN"/>
        </w:rPr>
        <w:t>袁</w:t>
      </w:r>
      <w:r>
        <w:rPr>
          <w:rFonts w:hint="eastAsia" w:asciiTheme="majorEastAsia" w:hAnsiTheme="majorEastAsia" w:eastAsiaTheme="majorEastAsia" w:cstheme="majorEastAsia"/>
          <w:color w:val="000000"/>
          <w:spacing w:val="2"/>
          <w:kern w:val="0"/>
          <w:sz w:val="24"/>
        </w:rPr>
        <w:t>老师，联系电话：</w:t>
      </w:r>
      <w:r>
        <w:rPr>
          <w:rFonts w:hint="eastAsia" w:asciiTheme="majorEastAsia" w:hAnsiTheme="majorEastAsia" w:eastAsiaTheme="majorEastAsia" w:cstheme="majorEastAsia"/>
          <w:color w:val="000000"/>
          <w:spacing w:val="2"/>
          <w:kern w:val="0"/>
          <w:sz w:val="24"/>
          <w:lang w:val="en-US" w:eastAsia="zh-CN"/>
        </w:rPr>
        <w:t>025-85115626</w:t>
      </w:r>
      <w:r>
        <w:rPr>
          <w:rFonts w:hint="eastAsia" w:asciiTheme="majorEastAsia" w:hAnsiTheme="majorEastAsia" w:eastAsiaTheme="majorEastAsia" w:cstheme="majorEastAsia"/>
          <w:color w:val="000000"/>
          <w:spacing w:val="2"/>
          <w:kern w:val="0"/>
          <w:sz w:val="24"/>
        </w:rPr>
        <w:t>）。</w:t>
      </w:r>
    </w:p>
    <w:p w14:paraId="4246B622">
      <w:pPr>
        <w:spacing w:line="360" w:lineRule="auto"/>
        <w:outlineLvl w:val="0"/>
        <w:rPr>
          <w:rFonts w:eastAsiaTheme="minorEastAsia"/>
          <w:sz w:val="24"/>
        </w:rPr>
      </w:pPr>
    </w:p>
    <w:p w14:paraId="703F1E61">
      <w:pPr>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color w:val="000000"/>
          <w:spacing w:val="4"/>
          <w:sz w:val="32"/>
          <w:szCs w:val="32"/>
        </w:rPr>
        <w:t xml:space="preserve">第二部分 </w:t>
      </w:r>
      <w:r>
        <w:rPr>
          <w:rFonts w:hint="eastAsia" w:asciiTheme="majorEastAsia" w:hAnsiTheme="majorEastAsia" w:eastAsiaTheme="majorEastAsia" w:cstheme="majorEastAsia"/>
          <w:b/>
          <w:color w:val="000000"/>
          <w:sz w:val="32"/>
          <w:szCs w:val="32"/>
        </w:rPr>
        <w:t>询价项目及有关说明</w:t>
      </w:r>
    </w:p>
    <w:p w14:paraId="644E68A1">
      <w:pPr>
        <w:spacing w:line="360" w:lineRule="auto"/>
        <w:ind w:firstLine="490" w:firstLineChars="200"/>
        <w:rPr>
          <w:rFonts w:asciiTheme="majorEastAsia" w:hAnsiTheme="majorEastAsia" w:eastAsiaTheme="majorEastAsia" w:cstheme="majorEastAsia"/>
          <w:b/>
          <w:bCs/>
          <w:color w:val="000000"/>
          <w:spacing w:val="2"/>
          <w:kern w:val="0"/>
          <w:sz w:val="24"/>
        </w:rPr>
      </w:pPr>
      <w:r>
        <w:rPr>
          <w:rFonts w:hint="eastAsia" w:asciiTheme="majorEastAsia" w:hAnsiTheme="majorEastAsia" w:eastAsiaTheme="majorEastAsia" w:cstheme="majorEastAsia"/>
          <w:b/>
          <w:bCs/>
          <w:color w:val="000000"/>
          <w:spacing w:val="2"/>
          <w:kern w:val="0"/>
          <w:sz w:val="24"/>
        </w:rPr>
        <w:t xml:space="preserve">一、项目概况及基本要求 </w:t>
      </w:r>
    </w:p>
    <w:p w14:paraId="0BB07A44">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1、项目名称：</w:t>
      </w:r>
      <w:r>
        <w:rPr>
          <w:rFonts w:hint="eastAsia" w:asciiTheme="majorEastAsia" w:hAnsiTheme="majorEastAsia" w:eastAsiaTheme="majorEastAsia" w:cstheme="majorEastAsia"/>
          <w:color w:val="000000"/>
          <w:spacing w:val="2"/>
          <w:kern w:val="0"/>
          <w:sz w:val="24"/>
          <w:lang w:val="en-US" w:eastAsia="zh-CN"/>
        </w:rPr>
        <w:t>三江</w:t>
      </w:r>
      <w:r>
        <w:rPr>
          <w:rFonts w:hint="eastAsia" w:asciiTheme="majorEastAsia" w:hAnsiTheme="majorEastAsia" w:eastAsiaTheme="majorEastAsia" w:cstheme="majorEastAsia"/>
          <w:bCs/>
          <w:color w:val="000000"/>
          <w:spacing w:val="2"/>
          <w:kern w:val="0"/>
          <w:sz w:val="24"/>
        </w:rPr>
        <w:t>院</w:t>
      </w:r>
      <w:r>
        <w:rPr>
          <w:rFonts w:hint="eastAsia" w:asciiTheme="majorEastAsia" w:hAnsiTheme="majorEastAsia" w:eastAsiaTheme="majorEastAsia" w:cstheme="majorEastAsia"/>
          <w:bCs/>
          <w:color w:val="000000"/>
          <w:spacing w:val="2"/>
          <w:kern w:val="0"/>
          <w:sz w:val="24"/>
          <w:lang w:val="en-US" w:eastAsia="zh-CN"/>
        </w:rPr>
        <w:t>C一楼测试间</w:t>
      </w:r>
      <w:r>
        <w:rPr>
          <w:rFonts w:hint="eastAsia" w:asciiTheme="majorEastAsia" w:hAnsiTheme="majorEastAsia" w:eastAsiaTheme="majorEastAsia" w:cstheme="majorEastAsia"/>
          <w:bCs/>
          <w:color w:val="000000"/>
          <w:spacing w:val="2"/>
          <w:kern w:val="0"/>
          <w:sz w:val="24"/>
        </w:rPr>
        <w:t>改造工程</w:t>
      </w:r>
      <w:r>
        <w:rPr>
          <w:rFonts w:hint="eastAsia" w:asciiTheme="majorEastAsia" w:hAnsiTheme="majorEastAsia" w:eastAsiaTheme="majorEastAsia" w:cstheme="majorEastAsia"/>
          <w:color w:val="000000"/>
          <w:spacing w:val="2"/>
          <w:kern w:val="0"/>
          <w:sz w:val="24"/>
        </w:rPr>
        <w:t xml:space="preserve">。 </w:t>
      </w:r>
    </w:p>
    <w:p w14:paraId="75EE6AEC">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2、项目内容及要求：</w:t>
      </w:r>
      <w:r>
        <w:rPr>
          <w:rFonts w:hint="eastAsia" w:asciiTheme="majorEastAsia" w:hAnsiTheme="majorEastAsia" w:eastAsiaTheme="majorEastAsia" w:cstheme="majorEastAsia"/>
          <w:color w:val="000000"/>
          <w:spacing w:val="2"/>
          <w:kern w:val="0"/>
          <w:sz w:val="24"/>
          <w:lang w:val="en-US" w:eastAsia="zh-CN"/>
        </w:rPr>
        <w:t>主要</w:t>
      </w:r>
      <w:r>
        <w:rPr>
          <w:rFonts w:hint="eastAsia" w:asciiTheme="majorEastAsia" w:hAnsiTheme="majorEastAsia" w:eastAsiaTheme="majorEastAsia" w:cstheme="majorEastAsia"/>
          <w:color w:val="000000"/>
          <w:spacing w:val="2"/>
          <w:kern w:val="0"/>
          <w:sz w:val="24"/>
        </w:rPr>
        <w:t>对</w:t>
      </w:r>
      <w:r>
        <w:rPr>
          <w:rFonts w:hint="eastAsia" w:asciiTheme="majorEastAsia" w:hAnsiTheme="majorEastAsia" w:eastAsiaTheme="majorEastAsia" w:cstheme="majorEastAsia"/>
          <w:color w:val="000000"/>
          <w:spacing w:val="2"/>
          <w:kern w:val="0"/>
          <w:sz w:val="24"/>
          <w:lang w:val="en-US" w:eastAsia="zh-CN"/>
        </w:rPr>
        <w:t>三江院C一楼测试间（建筑面积约150 ㎡）</w:t>
      </w:r>
      <w:r>
        <w:rPr>
          <w:rFonts w:hint="eastAsia" w:asciiTheme="majorEastAsia" w:hAnsiTheme="majorEastAsia" w:eastAsiaTheme="majorEastAsia" w:cstheme="majorEastAsia"/>
          <w:color w:val="000000"/>
          <w:spacing w:val="2"/>
          <w:kern w:val="0"/>
          <w:sz w:val="24"/>
        </w:rPr>
        <w:t>进行</w:t>
      </w:r>
      <w:r>
        <w:rPr>
          <w:rFonts w:hint="eastAsia" w:asciiTheme="majorEastAsia" w:hAnsiTheme="majorEastAsia" w:eastAsiaTheme="majorEastAsia" w:cstheme="majorEastAsia"/>
          <w:color w:val="000000"/>
          <w:spacing w:val="2"/>
          <w:kern w:val="0"/>
          <w:sz w:val="24"/>
          <w:lang w:val="en-US" w:eastAsia="zh-CN"/>
        </w:rPr>
        <w:t>功能分区，增加除湿机、做防水、布线等，以满足日常测试使用需求</w:t>
      </w:r>
      <w:r>
        <w:rPr>
          <w:rFonts w:hint="eastAsia" w:asciiTheme="majorEastAsia" w:hAnsiTheme="majorEastAsia" w:eastAsiaTheme="majorEastAsia" w:cstheme="majorEastAsia"/>
          <w:color w:val="000000"/>
          <w:spacing w:val="2"/>
          <w:kern w:val="0"/>
          <w:sz w:val="24"/>
        </w:rPr>
        <w:t xml:space="preserve">。依据工程量清单，并参考现场实际的情况等进行本工程的施工，并承担本工程质量保修责任。 </w:t>
      </w:r>
    </w:p>
    <w:p w14:paraId="6B4A0166">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 xml:space="preserve">3、承包方式：包工包料，所有材料均符合国家环保要求。 </w:t>
      </w:r>
    </w:p>
    <w:p w14:paraId="31AC3B94">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 xml:space="preserve">4、工程计价方式：综合单价法。 </w:t>
      </w:r>
    </w:p>
    <w:p w14:paraId="786E3D61">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 xml:space="preserve">5、完工期要求：合同生效后 </w:t>
      </w:r>
      <w:r>
        <w:rPr>
          <w:rFonts w:hint="eastAsia" w:asciiTheme="majorEastAsia" w:hAnsiTheme="majorEastAsia" w:eastAsiaTheme="majorEastAsia" w:cstheme="majorEastAsia"/>
          <w:color w:val="000000"/>
          <w:spacing w:val="2"/>
          <w:kern w:val="0"/>
          <w:sz w:val="24"/>
          <w:lang w:val="en-US" w:eastAsia="zh-CN"/>
        </w:rPr>
        <w:t>30</w:t>
      </w:r>
      <w:r>
        <w:rPr>
          <w:rFonts w:hint="eastAsia" w:asciiTheme="majorEastAsia" w:hAnsiTheme="majorEastAsia" w:eastAsiaTheme="majorEastAsia" w:cstheme="majorEastAsia"/>
          <w:color w:val="000000"/>
          <w:spacing w:val="2"/>
          <w:kern w:val="0"/>
          <w:sz w:val="24"/>
        </w:rPr>
        <w:t xml:space="preserve">天。 </w:t>
      </w:r>
    </w:p>
    <w:p w14:paraId="68BC1954">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 xml:space="preserve">6、质量标准：符合国家现行质量验收合格标准，一次性验收合格。 </w:t>
      </w:r>
    </w:p>
    <w:p w14:paraId="7D2F282A">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7、质保期：本项目质保期不少于贰年，质保期自愿延长不限。</w:t>
      </w:r>
    </w:p>
    <w:p w14:paraId="4466A6E6">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8、合同价款：本询价项目的合同价款采用固定单价方式确定。</w:t>
      </w:r>
    </w:p>
    <w:p w14:paraId="6016DC98">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9、付款方式及质量保证金：本工程预付工程款</w:t>
      </w:r>
      <w:r>
        <w:rPr>
          <w:rFonts w:hint="eastAsia" w:asciiTheme="majorEastAsia" w:hAnsiTheme="majorEastAsia" w:eastAsiaTheme="majorEastAsia" w:cstheme="majorEastAsia"/>
          <w:color w:val="000000"/>
          <w:spacing w:val="2"/>
          <w:kern w:val="0"/>
          <w:sz w:val="24"/>
          <w:lang w:val="en-US" w:eastAsia="zh-CN"/>
        </w:rPr>
        <w:t>不超过成交价的30%</w:t>
      </w:r>
      <w:r>
        <w:rPr>
          <w:rFonts w:hint="eastAsia" w:asciiTheme="majorEastAsia" w:hAnsiTheme="majorEastAsia" w:eastAsiaTheme="majorEastAsia" w:cstheme="majorEastAsia"/>
          <w:color w:val="000000"/>
          <w:spacing w:val="2"/>
          <w:kern w:val="0"/>
          <w:sz w:val="24"/>
        </w:rPr>
        <w:t xml:space="preserve">，项目完工、验收合格并经审计后付至审定价的100%，承包人应在项目审计结束后将审定价的3%为质量保证金汇至发包人指定账户上。质保期满验收合格后由发包人退还质量保证金（不计利息）。       </w:t>
      </w:r>
    </w:p>
    <w:p w14:paraId="72AC9BE5">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10、工期违约金：如供应商不能在承诺工期内完成承包范围内的工程，则每延误一天至少支付违约金500元给询价人（发包人），最高支付至工程总价的1.5%。</w:t>
      </w:r>
    </w:p>
    <w:p w14:paraId="1B848ACE">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11、质量违约金：如竣工后，工程质量不能一次检测验收合格，则供应商应承担违约责任，并向发包人支付工程总价的3.0%的违约金,同时由供应商承担二次检测的费用。</w:t>
      </w:r>
    </w:p>
    <w:p w14:paraId="041E8F3B">
      <w:pPr>
        <w:spacing w:line="360" w:lineRule="auto"/>
        <w:ind w:firstLine="490" w:firstLineChars="200"/>
        <w:rPr>
          <w:rFonts w:asciiTheme="majorEastAsia" w:hAnsiTheme="majorEastAsia" w:eastAsiaTheme="majorEastAsia" w:cstheme="majorEastAsia"/>
          <w:b/>
          <w:bCs/>
          <w:color w:val="000000"/>
          <w:spacing w:val="2"/>
          <w:kern w:val="0"/>
          <w:sz w:val="24"/>
        </w:rPr>
      </w:pPr>
      <w:r>
        <w:rPr>
          <w:rFonts w:hint="eastAsia" w:asciiTheme="majorEastAsia" w:hAnsiTheme="majorEastAsia" w:eastAsiaTheme="majorEastAsia" w:cstheme="majorEastAsia"/>
          <w:b/>
          <w:bCs/>
          <w:color w:val="000000"/>
          <w:spacing w:val="2"/>
          <w:kern w:val="0"/>
          <w:sz w:val="24"/>
        </w:rPr>
        <w:t xml:space="preserve">二、投标报价 </w:t>
      </w:r>
    </w:p>
    <w:p w14:paraId="514F2B5A">
      <w:pPr>
        <w:spacing w:line="360" w:lineRule="auto"/>
        <w:ind w:firstLine="488" w:firstLineChars="200"/>
        <w:rPr>
          <w:rFonts w:asciiTheme="majorEastAsia" w:hAnsiTheme="majorEastAsia" w:eastAsiaTheme="majorEastAsia" w:cstheme="majorEastAsia"/>
          <w:b/>
          <w:bCs/>
          <w:color w:val="000000"/>
          <w:spacing w:val="2"/>
          <w:kern w:val="0"/>
          <w:sz w:val="24"/>
        </w:rPr>
      </w:pPr>
      <w:r>
        <w:rPr>
          <w:rFonts w:hint="eastAsia" w:asciiTheme="majorEastAsia" w:hAnsiTheme="majorEastAsia" w:eastAsiaTheme="majorEastAsia" w:cstheme="majorEastAsia"/>
          <w:color w:val="000000"/>
          <w:spacing w:val="2"/>
          <w:kern w:val="0"/>
          <w:sz w:val="24"/>
        </w:rPr>
        <w:t>1、本工程参照执行《建设工程工程量清单计价规范》（GB50500-2013），政策性文件按照现行江苏省建委、无锡市建委颁发的相关文件规定执行。</w:t>
      </w:r>
    </w:p>
    <w:p w14:paraId="7A0AFC52">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2、投标总报价应包括满足询价文件要求，完成项目设计方案、图纸、清单范围内的工程施工内容所需的所有材料、人工、运输、管理、安装、安全措施、保险、税金、利润、售后服务等及政策性文件规定的全部费用。投标报价在合同执行期间是固定不变和不可变更的，不因市场变化因素而变动，供应商在计算报价时需考虑风险因素。</w:t>
      </w:r>
    </w:p>
    <w:p w14:paraId="1EAA98BF">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3、供应商应认真踏勘现场，并根据施工现场的实际情况和各自的施工经验、施工方法确定合理的施工组织方案。投标报价应包括完成该项目所采用施工方案的全部费用，所有的施工方案的费用应列入供应商认为合适的细目中，在工程量清单分析中反映出来。</w:t>
      </w:r>
    </w:p>
    <w:p w14:paraId="526B3E32">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4、除非招标人对询价文件予以修改，供应商应按招标人提供的工程量清单及其计价格式，填报单价和合价。供应商未填单价或合价的工程项目，视为该项目费用已包括在其他有价款的单价或合价内，在实施后，招标人将不另行支付。如实际施工的工程量与招标人提供的工程量清单中的数量不一致时，量差部分结算时凭甲方签证可按实调整，每一项目只允许有一个报价。任何有选择的报价将不予接受。</w:t>
      </w:r>
    </w:p>
    <w:p w14:paraId="559708DA">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 xml:space="preserve">5、工程量清单计价应包括满足询价文件要求，完成工程量清单所列项目的全部费用，包括分部分项工程费、措施项目费、其它项目费、规费和税金。工程量清单计价采用综合单价计价，综合单价包括完成工程量清单中一个规定计量单位项目所需的人工费、材料费、机械使用费、管理费和利润。凡施工中必须发生的工作内容所需的费用都应包括在投标报价的综合单价内，否则认为合并在其它内容中。 </w:t>
      </w:r>
    </w:p>
    <w:p w14:paraId="39E0FBD1">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6、工程量清单中的每一个细目都必须填入综合单价和合价。投标时没有填入综合单价和合价的细目，其费用应视为已分配在工程量清单的其他报价中,供应商应完成未填入综合单价和合价的工程内容。</w:t>
      </w:r>
    </w:p>
    <w:p w14:paraId="7243136C">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7、供应商应将（1）现场安全文明施工措施费，（2）环境保护税（暂不计取），（3）社会保险费，（4）住房公积金，（5）税金等按目前相关规定计取。</w:t>
      </w:r>
    </w:p>
    <w:p w14:paraId="28051E81">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8、措施项目清单计价表应包括完成该项目所采用施工方案的全部费用。措施费用包括现场因素、施工技术措施及赶工措施费用、现场安全文明施工措施费、工程按质论价所需增加的施工成本费等，报价时一起并入报价汇总中。如工程量清单分析中未列施工方案细目的项目，其施工方案费用应被视为已分配在供应商认为合适的细目报价中。</w:t>
      </w:r>
    </w:p>
    <w:p w14:paraId="519A88CE">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9、招标人指定小样的主要材料，供应商均应采用优质品牌的优等品和合格产品，且在使用前报发包人现场代表核验，若核验时发现非优质品牌的优等品和合格产品，必须无条件更换，承包人不得以投标时按某种材料报价为由拒绝更换。如未经核验，按不合格材料论处，承包人负责全部返工的费用。</w:t>
      </w:r>
    </w:p>
    <w:p w14:paraId="5ED81A82">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10、在评议过程中，招标人或评委发现供应商的投标单价有明显计算错误的，可以要求供应商作必要的澄清、说明或补正，供应商法定代表人或其授权人必须以书面形式作出更正。对于招标人或评委发现供应商个别子目单价明显高于或低于其它投标单位单价的，也可要求供应商作必要的说明，若供应商不能合理说明或者不能提供相关证明材料以及评委有充分理由认定不能支持投标单价的，将作重点评审。</w:t>
      </w:r>
    </w:p>
    <w:p w14:paraId="43B1DE01">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11、发包人可协助协调承包人在施工期间的用水、用电，按实际用量向承包人收取水、电费用。</w:t>
      </w:r>
    </w:p>
    <w:p w14:paraId="486EA48D">
      <w:pPr>
        <w:spacing w:line="360" w:lineRule="auto"/>
        <w:ind w:firstLine="488" w:firstLineChars="200"/>
        <w:rPr>
          <w:rFonts w:asciiTheme="majorEastAsia" w:hAnsiTheme="majorEastAsia" w:eastAsiaTheme="majorEastAsia" w:cstheme="majorEastAsia"/>
          <w:bCs/>
          <w:color w:val="000000"/>
          <w:spacing w:val="2"/>
          <w:kern w:val="0"/>
          <w:sz w:val="24"/>
        </w:rPr>
      </w:pPr>
      <w:r>
        <w:rPr>
          <w:rFonts w:hint="eastAsia" w:asciiTheme="majorEastAsia" w:hAnsiTheme="majorEastAsia" w:eastAsiaTheme="majorEastAsia" w:cstheme="majorEastAsia"/>
          <w:bCs/>
          <w:color w:val="000000"/>
          <w:spacing w:val="2"/>
          <w:kern w:val="0"/>
          <w:sz w:val="24"/>
        </w:rPr>
        <w:t>13、本工程最高限价</w:t>
      </w:r>
      <w:r>
        <w:rPr>
          <w:rFonts w:hint="eastAsia" w:asciiTheme="majorEastAsia" w:hAnsiTheme="majorEastAsia" w:eastAsiaTheme="majorEastAsia" w:cstheme="majorEastAsia"/>
          <w:bCs/>
          <w:color w:val="000000"/>
          <w:spacing w:val="2"/>
          <w:kern w:val="0"/>
          <w:sz w:val="24"/>
          <w:lang w:val="en-US" w:eastAsia="zh-CN"/>
        </w:rPr>
        <w:t>14.5</w:t>
      </w:r>
      <w:r>
        <w:rPr>
          <w:rFonts w:hint="eastAsia" w:asciiTheme="majorEastAsia" w:hAnsiTheme="majorEastAsia" w:eastAsiaTheme="majorEastAsia" w:cstheme="majorEastAsia"/>
          <w:bCs/>
          <w:color w:val="000000"/>
          <w:spacing w:val="2"/>
          <w:kern w:val="0"/>
          <w:sz w:val="24"/>
        </w:rPr>
        <w:t>万元。</w:t>
      </w:r>
    </w:p>
    <w:p w14:paraId="5CCE93C3">
      <w:pPr>
        <w:spacing w:line="360" w:lineRule="auto"/>
        <w:ind w:firstLine="490" w:firstLineChars="200"/>
        <w:rPr>
          <w:rFonts w:asciiTheme="majorEastAsia" w:hAnsiTheme="majorEastAsia" w:eastAsiaTheme="majorEastAsia" w:cstheme="majorEastAsia"/>
          <w:b/>
          <w:bCs/>
          <w:color w:val="000000"/>
          <w:spacing w:val="2"/>
          <w:kern w:val="0"/>
          <w:sz w:val="24"/>
        </w:rPr>
      </w:pPr>
      <w:r>
        <w:rPr>
          <w:rFonts w:hint="eastAsia" w:asciiTheme="majorEastAsia" w:hAnsiTheme="majorEastAsia" w:eastAsiaTheme="majorEastAsia" w:cstheme="majorEastAsia"/>
          <w:b/>
          <w:bCs/>
          <w:color w:val="000000"/>
          <w:spacing w:val="2"/>
          <w:kern w:val="0"/>
          <w:sz w:val="24"/>
        </w:rPr>
        <w:t xml:space="preserve">四、其他 </w:t>
      </w:r>
    </w:p>
    <w:p w14:paraId="224817EC">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 xml:space="preserve">1、投标人一旦参加投标，就意味着已接受招标文件的所有条款及要求，并受其约束。 </w:t>
      </w:r>
    </w:p>
    <w:p w14:paraId="4C700ADF">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 xml:space="preserve">2、除招标文件中规定招标人负责的工作外，在工程施工过程中，承包人对外发生的任何交涉与纠纷以及由此造成的损失，均由承包人自行解决，如需发包人进行协调，则协调所发生的费用由承包人承担。 </w:t>
      </w:r>
    </w:p>
    <w:p w14:paraId="6AAC70B1">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 xml:space="preserve">3、施工过程中，承包人对原设计提出设计修改建议，应征得发包人同意，并按有关规定办理变更手续。 </w:t>
      </w:r>
    </w:p>
    <w:p w14:paraId="7936225B">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 xml:space="preserve">4、承包人在进入施工现场后，应遵守国家相关法律法规、学校管理规定，注意安全文明施工，做好施工安全防护措施，并承担施工范围内的一切安全责任。 </w:t>
      </w:r>
    </w:p>
    <w:p w14:paraId="4EBB647C">
      <w:pPr>
        <w:spacing w:line="360" w:lineRule="auto"/>
        <w:ind w:firstLine="490" w:firstLineChars="200"/>
        <w:rPr>
          <w:rFonts w:asciiTheme="majorEastAsia" w:hAnsiTheme="majorEastAsia" w:eastAsiaTheme="majorEastAsia" w:cstheme="majorEastAsia"/>
          <w:b/>
          <w:bCs/>
          <w:color w:val="000000"/>
          <w:spacing w:val="2"/>
          <w:kern w:val="0"/>
          <w:sz w:val="24"/>
        </w:rPr>
      </w:pPr>
    </w:p>
    <w:p w14:paraId="526E876A">
      <w:pPr>
        <w:spacing w:line="360" w:lineRule="auto"/>
        <w:jc w:val="center"/>
        <w:rPr>
          <w:rFonts w:asciiTheme="majorEastAsia" w:hAnsiTheme="majorEastAsia" w:eastAsiaTheme="majorEastAsia" w:cstheme="majorEastAsia"/>
          <w:b/>
          <w:color w:val="000000"/>
          <w:spacing w:val="4"/>
          <w:sz w:val="32"/>
          <w:szCs w:val="32"/>
        </w:rPr>
      </w:pPr>
      <w:bookmarkStart w:id="0" w:name="_Toc41377895"/>
      <w:bookmarkStart w:id="1" w:name="_Toc511743426"/>
      <w:bookmarkStart w:id="2" w:name="_Toc76043501"/>
      <w:r>
        <w:rPr>
          <w:rFonts w:hint="eastAsia" w:asciiTheme="majorEastAsia" w:hAnsiTheme="majorEastAsia" w:eastAsiaTheme="majorEastAsia" w:cstheme="majorEastAsia"/>
          <w:b/>
          <w:color w:val="000000"/>
          <w:spacing w:val="4"/>
          <w:sz w:val="32"/>
          <w:szCs w:val="32"/>
        </w:rPr>
        <w:t>第三部分 供应商须知</w:t>
      </w:r>
    </w:p>
    <w:p w14:paraId="4A8E871E">
      <w:pPr>
        <w:spacing w:line="360" w:lineRule="auto"/>
        <w:ind w:firstLine="482" w:firstLineChars="200"/>
        <w:rPr>
          <w:b/>
          <w:color w:val="000000"/>
          <w:sz w:val="24"/>
        </w:rPr>
      </w:pPr>
      <w:r>
        <w:rPr>
          <w:rFonts w:hint="eastAsia"/>
          <w:b/>
          <w:color w:val="000000"/>
          <w:sz w:val="24"/>
        </w:rPr>
        <w:t>一、</w:t>
      </w:r>
      <w:r>
        <w:rPr>
          <w:b/>
          <w:color w:val="000000"/>
          <w:sz w:val="24"/>
        </w:rPr>
        <w:t xml:space="preserve"> </w:t>
      </w:r>
      <w:r>
        <w:rPr>
          <w:rFonts w:hint="eastAsia"/>
          <w:b/>
          <w:color w:val="000000"/>
          <w:sz w:val="24"/>
        </w:rPr>
        <w:t>响应文件的构成</w:t>
      </w:r>
    </w:p>
    <w:p w14:paraId="5761C0D9">
      <w:pPr>
        <w:spacing w:line="360" w:lineRule="auto"/>
        <w:ind w:firstLine="488" w:firstLineChars="200"/>
        <w:rPr>
          <w:rFonts w:asciiTheme="majorEastAsia" w:hAnsiTheme="majorEastAsia" w:eastAsiaTheme="majorEastAsia" w:cstheme="majorEastAsia"/>
          <w:color w:val="000000"/>
          <w:spacing w:val="2"/>
          <w:kern w:val="0"/>
          <w:sz w:val="24"/>
        </w:rPr>
      </w:pPr>
      <w:r>
        <w:rPr>
          <w:rFonts w:hint="eastAsia" w:asciiTheme="majorEastAsia" w:hAnsiTheme="majorEastAsia" w:eastAsiaTheme="majorEastAsia" w:cstheme="majorEastAsia"/>
          <w:color w:val="000000"/>
          <w:spacing w:val="2"/>
          <w:kern w:val="0"/>
          <w:sz w:val="24"/>
        </w:rPr>
        <w:t>供应商编写的响应文件由投标函、商务部分组成。</w:t>
      </w:r>
    </w:p>
    <w:p w14:paraId="7D5F6654">
      <w:pPr>
        <w:spacing w:line="360" w:lineRule="auto"/>
        <w:ind w:firstLine="490" w:firstLineChars="200"/>
        <w:rPr>
          <w:rFonts w:asciiTheme="majorEastAsia" w:hAnsiTheme="majorEastAsia" w:eastAsiaTheme="majorEastAsia" w:cstheme="majorEastAsia"/>
          <w:b/>
          <w:bCs/>
          <w:color w:val="000000"/>
          <w:spacing w:val="2"/>
          <w:kern w:val="0"/>
          <w:sz w:val="24"/>
        </w:rPr>
      </w:pPr>
      <w:r>
        <w:rPr>
          <w:rFonts w:hint="eastAsia" w:asciiTheme="majorEastAsia" w:hAnsiTheme="majorEastAsia" w:eastAsiaTheme="majorEastAsia" w:cstheme="majorEastAsia"/>
          <w:b/>
          <w:bCs/>
          <w:color w:val="000000"/>
          <w:spacing w:val="2"/>
          <w:kern w:val="0"/>
          <w:sz w:val="24"/>
        </w:rPr>
        <w:t>1.投标函部分主要包括下列内容：</w:t>
      </w:r>
    </w:p>
    <w:p w14:paraId="37EB6647">
      <w:pPr>
        <w:spacing w:line="360" w:lineRule="auto"/>
        <w:ind w:firstLine="480" w:firstLineChars="200"/>
        <w:rPr>
          <w:color w:val="000000"/>
          <w:sz w:val="24"/>
        </w:rPr>
      </w:pPr>
      <w:r>
        <w:rPr>
          <w:rFonts w:hint="eastAsia"/>
          <w:color w:val="000000"/>
          <w:sz w:val="24"/>
        </w:rPr>
        <w:t>（1）投标函；（附件1）</w:t>
      </w:r>
    </w:p>
    <w:p w14:paraId="29AE4034">
      <w:pPr>
        <w:spacing w:line="360" w:lineRule="auto"/>
        <w:ind w:firstLine="480" w:firstLineChars="200"/>
        <w:rPr>
          <w:color w:val="000000"/>
          <w:sz w:val="24"/>
        </w:rPr>
      </w:pPr>
      <w:r>
        <w:rPr>
          <w:rFonts w:hint="eastAsia"/>
          <w:color w:val="000000"/>
          <w:sz w:val="24"/>
        </w:rPr>
        <w:t>（2）开标一览表；（附件2）</w:t>
      </w:r>
    </w:p>
    <w:p w14:paraId="034FEB81">
      <w:pPr>
        <w:spacing w:line="360" w:lineRule="auto"/>
        <w:ind w:firstLine="480" w:firstLineChars="200"/>
        <w:rPr>
          <w:color w:val="000000"/>
          <w:sz w:val="24"/>
        </w:rPr>
      </w:pPr>
      <w:r>
        <w:rPr>
          <w:rFonts w:hint="eastAsia"/>
          <w:color w:val="000000"/>
          <w:sz w:val="24"/>
        </w:rPr>
        <w:t>（3）供应商认为需要提交的其他投标资料。</w:t>
      </w:r>
    </w:p>
    <w:p w14:paraId="1DE14B20">
      <w:pPr>
        <w:spacing w:line="360" w:lineRule="auto"/>
        <w:ind w:firstLine="490" w:firstLineChars="200"/>
        <w:rPr>
          <w:rFonts w:asciiTheme="majorEastAsia" w:hAnsiTheme="majorEastAsia" w:eastAsiaTheme="majorEastAsia" w:cstheme="majorEastAsia"/>
          <w:b/>
          <w:bCs/>
          <w:color w:val="000000"/>
          <w:spacing w:val="2"/>
          <w:kern w:val="0"/>
          <w:sz w:val="24"/>
        </w:rPr>
      </w:pPr>
      <w:r>
        <w:rPr>
          <w:rFonts w:hint="eastAsia" w:asciiTheme="majorEastAsia" w:hAnsiTheme="majorEastAsia" w:eastAsiaTheme="majorEastAsia" w:cstheme="majorEastAsia"/>
          <w:b/>
          <w:bCs/>
          <w:color w:val="000000"/>
          <w:spacing w:val="2"/>
          <w:kern w:val="0"/>
          <w:sz w:val="24"/>
        </w:rPr>
        <w:t>2.商务部分主要包括下列内容：</w:t>
      </w:r>
    </w:p>
    <w:p w14:paraId="72B3A261">
      <w:pPr>
        <w:spacing w:line="360" w:lineRule="auto"/>
        <w:ind w:firstLine="480" w:firstLineChars="200"/>
        <w:rPr>
          <w:color w:val="000000"/>
          <w:sz w:val="24"/>
        </w:rPr>
      </w:pPr>
      <w:r>
        <w:rPr>
          <w:rFonts w:hint="eastAsia"/>
          <w:color w:val="000000"/>
          <w:sz w:val="24"/>
        </w:rPr>
        <w:t>（1）投标报价说明；</w:t>
      </w:r>
    </w:p>
    <w:p w14:paraId="21901C26">
      <w:pPr>
        <w:spacing w:line="360" w:lineRule="auto"/>
        <w:ind w:firstLine="480" w:firstLineChars="200"/>
        <w:rPr>
          <w:color w:val="000000"/>
          <w:sz w:val="24"/>
        </w:rPr>
      </w:pPr>
      <w:r>
        <w:rPr>
          <w:rFonts w:hint="eastAsia"/>
          <w:color w:val="000000"/>
          <w:sz w:val="24"/>
        </w:rPr>
        <w:t>（2）工程量清单报价表；</w:t>
      </w:r>
      <w:r>
        <w:rPr>
          <w:rFonts w:hint="eastAsia" w:ascii="宋体" w:hAnsi="宋体"/>
          <w:bCs/>
          <w:color w:val="000000"/>
          <w:sz w:val="24"/>
        </w:rPr>
        <w:t>（附件3）</w:t>
      </w:r>
    </w:p>
    <w:p w14:paraId="3E9F248F">
      <w:pPr>
        <w:spacing w:line="360" w:lineRule="auto"/>
        <w:ind w:firstLine="480" w:firstLineChars="200"/>
        <w:rPr>
          <w:color w:val="000000"/>
          <w:sz w:val="24"/>
        </w:rPr>
      </w:pPr>
      <w:r>
        <w:rPr>
          <w:rFonts w:hint="eastAsia"/>
          <w:color w:val="000000"/>
          <w:sz w:val="24"/>
        </w:rPr>
        <w:t>（3）投标报价需要的其他资料。</w:t>
      </w:r>
    </w:p>
    <w:p w14:paraId="208B209E">
      <w:pPr>
        <w:spacing w:line="360" w:lineRule="auto"/>
        <w:ind w:firstLine="480" w:firstLineChars="200"/>
        <w:rPr>
          <w:color w:val="000000"/>
          <w:sz w:val="24"/>
        </w:rPr>
      </w:pPr>
      <w:r>
        <w:rPr>
          <w:rFonts w:hint="eastAsia"/>
          <w:color w:val="000000"/>
          <w:sz w:val="24"/>
        </w:rPr>
        <w:t>（4）有必要说明的其他内容。</w:t>
      </w:r>
    </w:p>
    <w:p w14:paraId="205326DC">
      <w:pPr>
        <w:spacing w:line="360" w:lineRule="auto"/>
        <w:ind w:firstLine="490" w:firstLineChars="200"/>
        <w:rPr>
          <w:rFonts w:asciiTheme="majorEastAsia" w:hAnsiTheme="majorEastAsia" w:eastAsiaTheme="majorEastAsia" w:cstheme="majorEastAsia"/>
          <w:b/>
          <w:bCs/>
          <w:color w:val="000000"/>
          <w:spacing w:val="2"/>
          <w:kern w:val="0"/>
          <w:sz w:val="24"/>
        </w:rPr>
      </w:pPr>
      <w:r>
        <w:rPr>
          <w:rFonts w:hint="eastAsia" w:asciiTheme="majorEastAsia" w:hAnsiTheme="majorEastAsia" w:eastAsiaTheme="majorEastAsia" w:cstheme="majorEastAsia"/>
          <w:b/>
          <w:bCs/>
          <w:color w:val="000000"/>
          <w:spacing w:val="2"/>
          <w:kern w:val="0"/>
          <w:sz w:val="24"/>
        </w:rPr>
        <w:t>3.响应文件的形式及签署</w:t>
      </w:r>
    </w:p>
    <w:p w14:paraId="561CB724">
      <w:pPr>
        <w:spacing w:line="360" w:lineRule="auto"/>
        <w:ind w:firstLine="480" w:firstLineChars="200"/>
        <w:rPr>
          <w:color w:val="000000"/>
          <w:sz w:val="24"/>
        </w:rPr>
      </w:pPr>
      <w:r>
        <w:rPr>
          <w:rFonts w:hint="eastAsia"/>
          <w:color w:val="000000"/>
          <w:sz w:val="24"/>
        </w:rPr>
        <w:t>（</w:t>
      </w:r>
      <w:r>
        <w:rPr>
          <w:color w:val="000000"/>
          <w:sz w:val="24"/>
        </w:rPr>
        <w:t>1</w:t>
      </w:r>
      <w:r>
        <w:rPr>
          <w:rFonts w:hint="eastAsia"/>
          <w:color w:val="000000"/>
          <w:sz w:val="24"/>
        </w:rPr>
        <w:t>）供应商需提交响应文件正本</w:t>
      </w:r>
      <w:r>
        <w:rPr>
          <w:color w:val="000000"/>
          <w:sz w:val="24"/>
        </w:rPr>
        <w:t>1</w:t>
      </w:r>
      <w:r>
        <w:rPr>
          <w:rFonts w:hint="eastAsia"/>
          <w:color w:val="000000"/>
          <w:sz w:val="24"/>
        </w:rPr>
        <w:t>份、副本1份，并在响应文件的封面明确标明正本和副本。如响应文件正本与副本有不同之处，以正本为准；</w:t>
      </w:r>
    </w:p>
    <w:p w14:paraId="2C652855">
      <w:pPr>
        <w:spacing w:line="360" w:lineRule="auto"/>
        <w:ind w:firstLine="480" w:firstLineChars="200"/>
        <w:rPr>
          <w:color w:val="000000"/>
          <w:sz w:val="24"/>
        </w:rPr>
      </w:pPr>
      <w:r>
        <w:rPr>
          <w:rFonts w:hint="eastAsia"/>
          <w:color w:val="000000"/>
          <w:sz w:val="24"/>
        </w:rPr>
        <w:t>（2）响应文件正本与副本均应使用</w:t>
      </w:r>
      <w:r>
        <w:rPr>
          <w:color w:val="000000"/>
          <w:sz w:val="24"/>
        </w:rPr>
        <w:t>A4</w:t>
      </w:r>
      <w:r>
        <w:rPr>
          <w:rFonts w:hint="eastAsia"/>
          <w:color w:val="000000"/>
          <w:sz w:val="24"/>
        </w:rPr>
        <w:t>型纸打印，图表等可按询价文件提供格式的同样规格的倍数扩展，且经授权代表签署；</w:t>
      </w:r>
    </w:p>
    <w:p w14:paraId="03BDD04E">
      <w:pPr>
        <w:spacing w:line="360" w:lineRule="auto"/>
        <w:ind w:firstLine="480" w:firstLineChars="200"/>
        <w:rPr>
          <w:color w:val="000000"/>
          <w:sz w:val="24"/>
        </w:rPr>
      </w:pPr>
      <w:r>
        <w:rPr>
          <w:rFonts w:hint="eastAsia"/>
          <w:color w:val="000000"/>
          <w:sz w:val="24"/>
        </w:rPr>
        <w:t>（3）响应文件不应有涂改、增删之处，但如有错误必须修改时，修改处必须由法定代表人或授权代表签署。</w:t>
      </w:r>
    </w:p>
    <w:p w14:paraId="5B0E3785">
      <w:pPr>
        <w:spacing w:line="360" w:lineRule="auto"/>
        <w:ind w:firstLine="490" w:firstLineChars="200"/>
        <w:rPr>
          <w:rFonts w:asciiTheme="majorEastAsia" w:hAnsiTheme="majorEastAsia" w:eastAsiaTheme="majorEastAsia" w:cstheme="majorEastAsia"/>
          <w:b/>
          <w:bCs/>
          <w:color w:val="000000"/>
          <w:spacing w:val="2"/>
          <w:kern w:val="0"/>
          <w:sz w:val="24"/>
        </w:rPr>
      </w:pPr>
      <w:r>
        <w:rPr>
          <w:rFonts w:hint="eastAsia" w:asciiTheme="majorEastAsia" w:hAnsiTheme="majorEastAsia" w:eastAsiaTheme="majorEastAsia" w:cstheme="majorEastAsia"/>
          <w:b/>
          <w:bCs/>
          <w:color w:val="000000"/>
          <w:spacing w:val="2"/>
          <w:kern w:val="0"/>
          <w:sz w:val="24"/>
        </w:rPr>
        <w:t>4.响应文件的密封和标记</w:t>
      </w:r>
    </w:p>
    <w:p w14:paraId="746C4E54">
      <w:pPr>
        <w:spacing w:line="360" w:lineRule="auto"/>
        <w:ind w:firstLine="480" w:firstLineChars="200"/>
        <w:rPr>
          <w:color w:val="000000"/>
          <w:sz w:val="24"/>
        </w:rPr>
      </w:pPr>
      <w:r>
        <w:rPr>
          <w:rFonts w:hint="eastAsia"/>
          <w:color w:val="000000"/>
          <w:sz w:val="24"/>
        </w:rPr>
        <w:t>供应商应将响应文件用封套加以密封，在封口处盖骑缝公章，并在封套上标明：</w:t>
      </w:r>
    </w:p>
    <w:p w14:paraId="74606D1F">
      <w:pPr>
        <w:pStyle w:val="15"/>
        <w:numPr>
          <w:ilvl w:val="0"/>
          <w:numId w:val="2"/>
        </w:numPr>
        <w:spacing w:line="360" w:lineRule="auto"/>
        <w:ind w:firstLineChars="0"/>
        <w:rPr>
          <w:color w:val="000000"/>
          <w:sz w:val="24"/>
        </w:rPr>
      </w:pPr>
      <w:r>
        <w:rPr>
          <w:rFonts w:hint="eastAsia"/>
          <w:color w:val="000000"/>
          <w:sz w:val="24"/>
        </w:rPr>
        <w:t>收  件  人：  东南大学无锡校区</w:t>
      </w:r>
    </w:p>
    <w:p w14:paraId="50FBBB37">
      <w:pPr>
        <w:spacing w:line="360" w:lineRule="auto"/>
        <w:ind w:firstLine="480" w:firstLineChars="200"/>
        <w:rPr>
          <w:color w:val="000000"/>
          <w:sz w:val="24"/>
        </w:rPr>
      </w:pPr>
      <w:r>
        <w:rPr>
          <w:rFonts w:hint="eastAsia"/>
          <w:color w:val="000000"/>
          <w:sz w:val="24"/>
        </w:rPr>
        <w:t>（2）招标项目名称：</w:t>
      </w:r>
      <w:r>
        <w:rPr>
          <w:color w:val="000000"/>
          <w:sz w:val="24"/>
        </w:rPr>
        <w:t xml:space="preserve">                                </w:t>
      </w:r>
    </w:p>
    <w:p w14:paraId="50443DEE">
      <w:pPr>
        <w:spacing w:line="360" w:lineRule="auto"/>
        <w:ind w:firstLine="480" w:firstLineChars="200"/>
        <w:rPr>
          <w:color w:val="000000"/>
          <w:sz w:val="24"/>
        </w:rPr>
      </w:pPr>
      <w:r>
        <w:rPr>
          <w:rFonts w:hint="eastAsia"/>
          <w:color w:val="000000"/>
          <w:sz w:val="24"/>
        </w:rPr>
        <w:t>（3）供应商名称：</w:t>
      </w:r>
      <w:r>
        <w:rPr>
          <w:color w:val="000000"/>
          <w:sz w:val="24"/>
        </w:rPr>
        <w:t xml:space="preserve">                                  </w:t>
      </w:r>
    </w:p>
    <w:p w14:paraId="3BE1AA4B">
      <w:pPr>
        <w:spacing w:line="360" w:lineRule="auto"/>
        <w:ind w:firstLine="480" w:firstLineChars="200"/>
        <w:rPr>
          <w:color w:val="000000"/>
          <w:sz w:val="24"/>
        </w:rPr>
      </w:pPr>
      <w:r>
        <w:rPr>
          <w:rFonts w:hint="eastAsia"/>
          <w:color w:val="000000"/>
          <w:sz w:val="24"/>
        </w:rPr>
        <w:t>（4）供应商地址：</w:t>
      </w:r>
      <w:r>
        <w:rPr>
          <w:color w:val="000000"/>
          <w:sz w:val="24"/>
        </w:rPr>
        <w:t xml:space="preserve">                                  </w:t>
      </w:r>
    </w:p>
    <w:p w14:paraId="471DF393">
      <w:pPr>
        <w:spacing w:line="360" w:lineRule="auto"/>
        <w:ind w:firstLine="480" w:firstLineChars="200"/>
        <w:rPr>
          <w:color w:val="000000"/>
          <w:sz w:val="24"/>
        </w:rPr>
      </w:pPr>
      <w:r>
        <w:rPr>
          <w:rFonts w:hint="eastAsia"/>
          <w:color w:val="000000"/>
          <w:sz w:val="24"/>
        </w:rPr>
        <w:t>（5）联系电话：</w:t>
      </w:r>
      <w:r>
        <w:rPr>
          <w:color w:val="000000"/>
          <w:sz w:val="24"/>
        </w:rPr>
        <w:t xml:space="preserve">                                    </w:t>
      </w:r>
    </w:p>
    <w:p w14:paraId="52C0AAEE">
      <w:pPr>
        <w:spacing w:line="360" w:lineRule="auto"/>
        <w:ind w:firstLine="480" w:firstLineChars="200"/>
        <w:rPr>
          <w:color w:val="000000"/>
          <w:sz w:val="24"/>
        </w:rPr>
      </w:pPr>
      <w:r>
        <w:rPr>
          <w:rFonts w:hint="eastAsia"/>
          <w:color w:val="000000"/>
          <w:sz w:val="24"/>
        </w:rPr>
        <w:t>（6）开标之前不得启封</w:t>
      </w:r>
    </w:p>
    <w:p w14:paraId="0CC56FC1">
      <w:pPr>
        <w:spacing w:line="360" w:lineRule="auto"/>
        <w:ind w:firstLine="482" w:firstLineChars="200"/>
        <w:rPr>
          <w:b/>
          <w:bCs/>
          <w:color w:val="000000"/>
          <w:sz w:val="24"/>
        </w:rPr>
      </w:pPr>
      <w:r>
        <w:rPr>
          <w:rFonts w:hint="eastAsia"/>
          <w:b/>
          <w:bCs/>
          <w:color w:val="000000"/>
          <w:sz w:val="24"/>
        </w:rPr>
        <w:t>没有按上述规定密封和标记的响应文件，招标人将不承担响应文件错放或提前开启的责任，由此造成提前开启的响应文件招标人将予以拒绝。</w:t>
      </w:r>
    </w:p>
    <w:p w14:paraId="4922D825">
      <w:pPr>
        <w:spacing w:line="360" w:lineRule="auto"/>
        <w:rPr>
          <w:rFonts w:ascii="宋体" w:hAnsi="宋体"/>
          <w:b/>
          <w:color w:val="000000"/>
          <w:sz w:val="24"/>
        </w:rPr>
      </w:pPr>
      <w:r>
        <w:rPr>
          <w:rFonts w:hint="eastAsia" w:ascii="宋体" w:hAnsi="宋体"/>
          <w:b/>
          <w:color w:val="000000"/>
          <w:sz w:val="24"/>
        </w:rPr>
        <w:t>二、 询价、评议</w:t>
      </w:r>
    </w:p>
    <w:p w14:paraId="042238A4">
      <w:pPr>
        <w:spacing w:line="360" w:lineRule="auto"/>
        <w:ind w:firstLine="482" w:firstLineChars="200"/>
        <w:rPr>
          <w:color w:val="000000"/>
          <w:sz w:val="24"/>
        </w:rPr>
      </w:pPr>
      <w:r>
        <w:rPr>
          <w:rFonts w:hint="eastAsia"/>
          <w:b/>
          <w:color w:val="000000"/>
          <w:sz w:val="24"/>
        </w:rPr>
        <w:t xml:space="preserve">1. </w:t>
      </w:r>
      <w:r>
        <w:rPr>
          <w:rFonts w:hint="eastAsia"/>
          <w:color w:val="000000"/>
          <w:sz w:val="24"/>
        </w:rPr>
        <w:t>招标人按规定的时间和地点进行公开询价，供应商可派代表（持授权代表身份证明）参加。</w:t>
      </w:r>
      <w:r>
        <w:rPr>
          <w:rFonts w:hint="eastAsia"/>
          <w:b w:val="0"/>
          <w:bCs w:val="0"/>
          <w:color w:val="000000"/>
          <w:sz w:val="24"/>
        </w:rPr>
        <w:t>供应商未派代表参加询价过程的，视为默认开标结果。</w:t>
      </w:r>
    </w:p>
    <w:p w14:paraId="1804093B">
      <w:pPr>
        <w:spacing w:line="360" w:lineRule="auto"/>
        <w:ind w:firstLine="482" w:firstLineChars="200"/>
        <w:rPr>
          <w:color w:val="000000"/>
          <w:sz w:val="24"/>
        </w:rPr>
      </w:pPr>
      <w:r>
        <w:rPr>
          <w:rFonts w:hint="eastAsia"/>
          <w:b/>
          <w:color w:val="000000"/>
          <w:sz w:val="24"/>
        </w:rPr>
        <w:t xml:space="preserve">2. </w:t>
      </w:r>
      <w:r>
        <w:rPr>
          <w:rFonts w:hint="eastAsia"/>
          <w:color w:val="000000"/>
          <w:sz w:val="24"/>
        </w:rPr>
        <w:t>招标人组织专家和用户等组成询价小组进行评议，推荐中标候选人或直接确定供应商。</w:t>
      </w:r>
    </w:p>
    <w:p w14:paraId="76C3DF58">
      <w:pPr>
        <w:spacing w:line="360" w:lineRule="auto"/>
        <w:ind w:firstLine="482" w:firstLineChars="200"/>
        <w:rPr>
          <w:b/>
          <w:color w:val="000000"/>
          <w:sz w:val="24"/>
        </w:rPr>
      </w:pPr>
      <w:r>
        <w:rPr>
          <w:rFonts w:hint="eastAsia"/>
          <w:b/>
          <w:color w:val="000000"/>
          <w:sz w:val="24"/>
        </w:rPr>
        <w:t xml:space="preserve">3. </w:t>
      </w:r>
      <w:r>
        <w:rPr>
          <w:rFonts w:hint="eastAsia"/>
          <w:color w:val="000000"/>
          <w:sz w:val="24"/>
        </w:rPr>
        <w:t>在详细评标之前，招标人和评委要对供应商的投标资格以及响应文件是否实质上响应了询价文件的要求进行审查。实质上响应的投标应该是与询价文件要求的全部条款、条件、指标和规格相符，没有重大偏离的投标。</w:t>
      </w:r>
    </w:p>
    <w:p w14:paraId="3AFAC549">
      <w:pPr>
        <w:spacing w:line="360" w:lineRule="auto"/>
        <w:ind w:firstLine="482" w:firstLineChars="200"/>
        <w:rPr>
          <w:color w:val="000000"/>
          <w:sz w:val="24"/>
        </w:rPr>
      </w:pPr>
      <w:r>
        <w:rPr>
          <w:rFonts w:hint="eastAsia"/>
          <w:b/>
          <w:color w:val="000000"/>
          <w:sz w:val="24"/>
        </w:rPr>
        <w:t xml:space="preserve">4. </w:t>
      </w:r>
      <w:r>
        <w:rPr>
          <w:rFonts w:hint="eastAsia"/>
          <w:color w:val="000000"/>
          <w:sz w:val="24"/>
        </w:rPr>
        <w:t>供应商的投标资格不合要求以及实质上没有响应询价文件要求的投标将被拒绝。招标人和评委判定投标的响应性只根据投标本身的内容，而不寻求外部的证据，供应商不得通过修正或撤销不符合要求的偏离从而使其投标成为实质上响应的投标。</w:t>
      </w:r>
    </w:p>
    <w:p w14:paraId="7B9662A8">
      <w:pPr>
        <w:spacing w:line="360" w:lineRule="auto"/>
        <w:ind w:firstLine="482" w:firstLineChars="200"/>
        <w:rPr>
          <w:color w:val="000000"/>
          <w:sz w:val="24"/>
        </w:rPr>
      </w:pPr>
      <w:r>
        <w:rPr>
          <w:rFonts w:hint="eastAsia"/>
          <w:b/>
          <w:color w:val="000000"/>
          <w:sz w:val="24"/>
        </w:rPr>
        <w:t xml:space="preserve">5. </w:t>
      </w:r>
      <w:r>
        <w:rPr>
          <w:rFonts w:hint="eastAsia"/>
          <w:color w:val="000000"/>
          <w:sz w:val="24"/>
        </w:rPr>
        <w:t>响应文件出现（但不限于）下列情况之一的, 由询价小组评审后作无效投标或废标处理：</w:t>
      </w:r>
    </w:p>
    <w:p w14:paraId="558DFDA9">
      <w:pPr>
        <w:spacing w:line="360" w:lineRule="auto"/>
        <w:ind w:firstLine="480" w:firstLineChars="200"/>
        <w:rPr>
          <w:color w:val="000000"/>
          <w:sz w:val="24"/>
        </w:rPr>
      </w:pPr>
      <w:r>
        <w:rPr>
          <w:rFonts w:hint="eastAsia"/>
          <w:color w:val="000000"/>
          <w:sz w:val="24"/>
        </w:rPr>
        <w:t>（</w:t>
      </w:r>
      <w:r>
        <w:rPr>
          <w:color w:val="000000"/>
          <w:sz w:val="24"/>
        </w:rPr>
        <w:t>1</w:t>
      </w:r>
      <w:r>
        <w:rPr>
          <w:rFonts w:hint="eastAsia"/>
          <w:color w:val="000000"/>
          <w:sz w:val="24"/>
        </w:rPr>
        <w:t>）超出经营范围投标的；</w:t>
      </w:r>
    </w:p>
    <w:p w14:paraId="1C540AD1">
      <w:pPr>
        <w:spacing w:line="360" w:lineRule="auto"/>
        <w:ind w:firstLine="480" w:firstLineChars="200"/>
        <w:rPr>
          <w:color w:val="000000"/>
          <w:sz w:val="24"/>
        </w:rPr>
      </w:pPr>
      <w:r>
        <w:rPr>
          <w:rFonts w:hint="eastAsia"/>
          <w:color w:val="000000"/>
          <w:sz w:val="24"/>
        </w:rPr>
        <w:t>（2）</w:t>
      </w:r>
      <w:r>
        <w:rPr>
          <w:rFonts w:hint="eastAsia" w:ascii="宋体" w:hAnsi="宋体"/>
          <w:bCs/>
          <w:color w:val="000000"/>
          <w:sz w:val="24"/>
        </w:rPr>
        <w:t>不具备询价文件规定的资格条件及未按询价文件规定的要求提供资格证明文件的；</w:t>
      </w:r>
    </w:p>
    <w:p w14:paraId="152771EB">
      <w:pPr>
        <w:spacing w:line="360" w:lineRule="auto"/>
        <w:ind w:firstLine="480" w:firstLineChars="200"/>
        <w:rPr>
          <w:color w:val="000000"/>
          <w:sz w:val="24"/>
        </w:rPr>
      </w:pPr>
      <w:r>
        <w:rPr>
          <w:rFonts w:hint="eastAsia"/>
          <w:color w:val="000000"/>
          <w:sz w:val="24"/>
        </w:rPr>
        <w:t>（3）无法定代表人签字或签字人无法定代表人有效授权的；</w:t>
      </w:r>
    </w:p>
    <w:p w14:paraId="2B1B1FB9">
      <w:pPr>
        <w:spacing w:line="360" w:lineRule="auto"/>
        <w:ind w:firstLine="480" w:firstLineChars="200"/>
        <w:rPr>
          <w:color w:val="000000"/>
          <w:sz w:val="24"/>
        </w:rPr>
      </w:pPr>
      <w:r>
        <w:rPr>
          <w:rFonts w:hint="eastAsia"/>
          <w:color w:val="000000"/>
          <w:sz w:val="24"/>
        </w:rPr>
        <w:t>（4）投标有效期不足的；</w:t>
      </w:r>
    </w:p>
    <w:p w14:paraId="7F0D1CE6">
      <w:pPr>
        <w:spacing w:line="360" w:lineRule="auto"/>
        <w:ind w:firstLine="480" w:firstLineChars="200"/>
        <w:rPr>
          <w:color w:val="000000"/>
          <w:sz w:val="24"/>
        </w:rPr>
      </w:pPr>
      <w:r>
        <w:rPr>
          <w:rFonts w:hint="eastAsia"/>
          <w:color w:val="000000"/>
          <w:sz w:val="24"/>
        </w:rPr>
        <w:t>（5）施工工期及质量保修期不满足招标要求的；</w:t>
      </w:r>
    </w:p>
    <w:p w14:paraId="6C36ED70">
      <w:pPr>
        <w:tabs>
          <w:tab w:val="left" w:pos="525"/>
          <w:tab w:val="left" w:pos="1050"/>
        </w:tabs>
        <w:spacing w:line="360" w:lineRule="auto"/>
        <w:ind w:left="1" w:firstLine="480" w:firstLineChars="200"/>
        <w:rPr>
          <w:rFonts w:ascii="宋体" w:hAnsi="宋体"/>
          <w:bCs/>
          <w:color w:val="000000"/>
          <w:sz w:val="24"/>
        </w:rPr>
      </w:pPr>
      <w:r>
        <w:rPr>
          <w:rFonts w:hint="eastAsia"/>
          <w:color w:val="000000"/>
          <w:sz w:val="24"/>
        </w:rPr>
        <w:t>（6）</w:t>
      </w:r>
      <w:r>
        <w:rPr>
          <w:rFonts w:hint="eastAsia" w:ascii="宋体" w:hAnsi="宋体"/>
          <w:bCs/>
          <w:color w:val="000000"/>
          <w:sz w:val="24"/>
        </w:rPr>
        <w:t>重要内容或关键字迹模糊不清无法辨认的；</w:t>
      </w:r>
    </w:p>
    <w:p w14:paraId="3B3E238C">
      <w:pPr>
        <w:spacing w:line="360" w:lineRule="auto"/>
        <w:ind w:firstLine="480" w:firstLineChars="200"/>
        <w:rPr>
          <w:color w:val="000000"/>
          <w:sz w:val="24"/>
        </w:rPr>
      </w:pPr>
      <w:r>
        <w:rPr>
          <w:rFonts w:hint="eastAsia"/>
          <w:color w:val="000000"/>
          <w:sz w:val="24"/>
        </w:rPr>
        <w:t>（7）其它未实质上响应询价文件要求投标的；</w:t>
      </w:r>
    </w:p>
    <w:p w14:paraId="22C8A2C8">
      <w:pPr>
        <w:tabs>
          <w:tab w:val="left" w:pos="525"/>
          <w:tab w:val="left" w:pos="1050"/>
        </w:tabs>
        <w:spacing w:line="360" w:lineRule="auto"/>
        <w:ind w:left="1" w:firstLine="480" w:firstLineChars="200"/>
        <w:rPr>
          <w:rFonts w:ascii="宋体" w:hAnsi="宋体"/>
          <w:bCs/>
          <w:color w:val="000000"/>
          <w:sz w:val="24"/>
        </w:rPr>
      </w:pPr>
      <w:r>
        <w:rPr>
          <w:rFonts w:hint="eastAsia"/>
          <w:color w:val="000000"/>
          <w:sz w:val="24"/>
        </w:rPr>
        <w:t>（8）</w:t>
      </w:r>
      <w:r>
        <w:rPr>
          <w:rFonts w:hint="eastAsia" w:ascii="宋体" w:hAnsi="宋体"/>
          <w:bCs/>
          <w:color w:val="000000"/>
          <w:sz w:val="24"/>
        </w:rPr>
        <w:t>不同供应商响应文件相互混装的；</w:t>
      </w:r>
    </w:p>
    <w:p w14:paraId="5F38DBE1">
      <w:pPr>
        <w:tabs>
          <w:tab w:val="left" w:pos="525"/>
          <w:tab w:val="left" w:pos="1050"/>
        </w:tabs>
        <w:spacing w:line="360" w:lineRule="auto"/>
        <w:ind w:left="1" w:firstLine="480" w:firstLineChars="200"/>
        <w:rPr>
          <w:rFonts w:ascii="宋体" w:hAnsi="宋体"/>
          <w:bCs/>
          <w:color w:val="000000"/>
          <w:sz w:val="24"/>
        </w:rPr>
      </w:pPr>
      <w:r>
        <w:rPr>
          <w:rFonts w:hint="eastAsia"/>
          <w:color w:val="000000"/>
          <w:sz w:val="24"/>
        </w:rPr>
        <w:t>（9）</w:t>
      </w:r>
      <w:r>
        <w:rPr>
          <w:rFonts w:hint="eastAsia" w:ascii="宋体" w:hAnsi="宋体"/>
          <w:bCs/>
          <w:color w:val="000000"/>
          <w:sz w:val="24"/>
        </w:rPr>
        <w:t>不同供应商响应文件中的项目相关人员出现同一人的；</w:t>
      </w:r>
    </w:p>
    <w:p w14:paraId="5B9272ED">
      <w:pPr>
        <w:tabs>
          <w:tab w:val="left" w:pos="525"/>
          <w:tab w:val="left" w:pos="1050"/>
        </w:tabs>
        <w:spacing w:line="360" w:lineRule="auto"/>
        <w:ind w:left="1" w:firstLine="480" w:firstLineChars="200"/>
        <w:rPr>
          <w:rFonts w:ascii="宋体" w:hAnsi="宋体"/>
          <w:bCs/>
          <w:color w:val="000000"/>
          <w:sz w:val="24"/>
        </w:rPr>
      </w:pPr>
      <w:r>
        <w:rPr>
          <w:rFonts w:hint="eastAsia"/>
          <w:color w:val="000000"/>
          <w:sz w:val="24"/>
        </w:rPr>
        <w:t>（10）</w:t>
      </w:r>
      <w:r>
        <w:rPr>
          <w:rFonts w:hint="eastAsia" w:ascii="宋体" w:hAnsi="宋体"/>
          <w:bCs/>
          <w:color w:val="000000"/>
          <w:sz w:val="24"/>
        </w:rPr>
        <w:t>不同供应商的响应文件内容出现非正常一致的；</w:t>
      </w:r>
    </w:p>
    <w:p w14:paraId="66C0C2E4">
      <w:pPr>
        <w:tabs>
          <w:tab w:val="left" w:pos="525"/>
          <w:tab w:val="left" w:pos="1050"/>
        </w:tabs>
        <w:spacing w:line="360" w:lineRule="auto"/>
        <w:ind w:left="1" w:firstLine="480" w:firstLineChars="200"/>
        <w:rPr>
          <w:rFonts w:ascii="宋体" w:hAnsi="宋体"/>
          <w:bCs/>
          <w:color w:val="000000"/>
          <w:sz w:val="24"/>
        </w:rPr>
      </w:pPr>
      <w:r>
        <w:rPr>
          <w:rFonts w:hint="eastAsia"/>
          <w:color w:val="000000"/>
          <w:sz w:val="24"/>
        </w:rPr>
        <w:t>（11）</w:t>
      </w:r>
      <w:r>
        <w:rPr>
          <w:rFonts w:hint="eastAsia" w:ascii="宋体" w:hAnsi="宋体"/>
          <w:bCs/>
          <w:color w:val="000000"/>
          <w:sz w:val="24"/>
        </w:rPr>
        <w:t>故意哄抬价格或压价等其它恶意串通投标的；</w:t>
      </w:r>
    </w:p>
    <w:p w14:paraId="53DE671C">
      <w:pPr>
        <w:spacing w:line="360" w:lineRule="auto"/>
        <w:ind w:firstLine="480" w:firstLineChars="200"/>
        <w:rPr>
          <w:color w:val="000000"/>
          <w:sz w:val="24"/>
        </w:rPr>
      </w:pPr>
      <w:r>
        <w:rPr>
          <w:rFonts w:hint="eastAsia"/>
          <w:color w:val="000000"/>
          <w:sz w:val="24"/>
        </w:rPr>
        <w:t>（12）有损害招标人和用户利益的规定的；</w:t>
      </w:r>
    </w:p>
    <w:p w14:paraId="2D3B2978">
      <w:pPr>
        <w:spacing w:line="360" w:lineRule="auto"/>
        <w:ind w:firstLine="482" w:firstLineChars="200"/>
        <w:rPr>
          <w:b/>
          <w:color w:val="000000"/>
          <w:sz w:val="24"/>
        </w:rPr>
      </w:pPr>
      <w:r>
        <w:rPr>
          <w:rFonts w:hint="eastAsia"/>
          <w:b/>
          <w:color w:val="000000"/>
          <w:sz w:val="24"/>
        </w:rPr>
        <w:t xml:space="preserve">6. </w:t>
      </w:r>
      <w:r>
        <w:rPr>
          <w:rFonts w:hint="eastAsia"/>
          <w:color w:val="000000"/>
          <w:sz w:val="24"/>
        </w:rPr>
        <w:t>询价小组认为有必要时，将要求供应商述标或对响应文件中某些内容作出澄清或说明，但不接受供应商主动提出的澄清和说明。</w:t>
      </w:r>
    </w:p>
    <w:p w14:paraId="1236963F">
      <w:pPr>
        <w:spacing w:line="360" w:lineRule="auto"/>
        <w:ind w:firstLine="482" w:firstLineChars="200"/>
        <w:rPr>
          <w:color w:val="000000"/>
          <w:sz w:val="24"/>
        </w:rPr>
      </w:pPr>
      <w:r>
        <w:rPr>
          <w:rFonts w:hint="eastAsia"/>
          <w:b/>
          <w:color w:val="000000"/>
          <w:sz w:val="24"/>
        </w:rPr>
        <w:t xml:space="preserve">7. </w:t>
      </w:r>
      <w:r>
        <w:rPr>
          <w:rFonts w:hint="eastAsia"/>
          <w:color w:val="000000"/>
          <w:sz w:val="24"/>
        </w:rPr>
        <w:t>询价小组将从供应商的投标报价、资质和业绩、施工方案、施工组织设计、售后服务承诺等技术和商务条款及其他优惠条款等方面，依据评标方法，对所有响应文件进行综合评审。</w:t>
      </w:r>
    </w:p>
    <w:p w14:paraId="2D583CB8">
      <w:pPr>
        <w:spacing w:line="360" w:lineRule="auto"/>
        <w:rPr>
          <w:b/>
          <w:color w:val="000000"/>
          <w:sz w:val="24"/>
        </w:rPr>
      </w:pPr>
      <w:r>
        <w:rPr>
          <w:rFonts w:hint="eastAsia" w:ascii="宋体" w:hAnsi="宋体"/>
          <w:b/>
          <w:color w:val="000000"/>
          <w:sz w:val="24"/>
        </w:rPr>
        <w:t>三、</w:t>
      </w:r>
      <w:r>
        <w:rPr>
          <w:rFonts w:hint="eastAsia"/>
          <w:b/>
          <w:color w:val="000000"/>
          <w:sz w:val="24"/>
        </w:rPr>
        <w:t>询价方法及评分标准</w:t>
      </w:r>
    </w:p>
    <w:p w14:paraId="42A8220D">
      <w:pPr>
        <w:spacing w:line="324" w:lineRule="auto"/>
        <w:ind w:firstLine="480" w:firstLineChars="200"/>
        <w:rPr>
          <w:b/>
          <w:bCs/>
          <w:sz w:val="24"/>
        </w:rPr>
      </w:pPr>
      <w:r>
        <w:rPr>
          <w:rFonts w:hint="eastAsia"/>
          <w:sz w:val="24"/>
        </w:rPr>
        <w:t>本次招</w:t>
      </w:r>
      <w:r>
        <w:rPr>
          <w:rFonts w:hint="eastAsia"/>
          <w:color w:val="000000"/>
          <w:sz w:val="24"/>
        </w:rPr>
        <w:t>标的评标方法采用 综合评分法。</w:t>
      </w:r>
    </w:p>
    <w:p w14:paraId="307CB74C">
      <w:pPr>
        <w:spacing w:line="360" w:lineRule="auto"/>
        <w:rPr>
          <w:rFonts w:ascii="宋体" w:hAnsi="宋体"/>
          <w:b/>
          <w:color w:val="000000"/>
          <w:sz w:val="24"/>
        </w:rPr>
      </w:pPr>
      <w:r>
        <w:rPr>
          <w:rFonts w:hint="eastAsia" w:ascii="宋体" w:hAnsi="宋体"/>
          <w:b/>
          <w:color w:val="000000"/>
          <w:sz w:val="24"/>
        </w:rPr>
        <w:t>四、 定标</w:t>
      </w:r>
    </w:p>
    <w:p w14:paraId="64FF2B2A">
      <w:pPr>
        <w:spacing w:line="360" w:lineRule="auto"/>
        <w:ind w:firstLine="482" w:firstLineChars="200"/>
        <w:rPr>
          <w:color w:val="000000"/>
          <w:sz w:val="24"/>
        </w:rPr>
      </w:pPr>
      <w:r>
        <w:rPr>
          <w:rFonts w:hint="eastAsia"/>
          <w:b/>
          <w:color w:val="000000"/>
          <w:sz w:val="24"/>
        </w:rPr>
        <w:t>1.</w:t>
      </w:r>
      <w:r>
        <w:rPr>
          <w:rFonts w:hint="eastAsia"/>
          <w:color w:val="000000"/>
          <w:sz w:val="24"/>
        </w:rPr>
        <w:t xml:space="preserve"> 根据评标结果产生中标候选人或者直接被确定为供应商。</w:t>
      </w:r>
    </w:p>
    <w:p w14:paraId="077CF74C">
      <w:pPr>
        <w:spacing w:line="360" w:lineRule="auto"/>
        <w:ind w:firstLine="482" w:firstLineChars="200"/>
        <w:rPr>
          <w:color w:val="000000"/>
          <w:sz w:val="24"/>
        </w:rPr>
      </w:pPr>
      <w:r>
        <w:rPr>
          <w:rFonts w:hint="eastAsia"/>
          <w:b/>
          <w:color w:val="000000"/>
          <w:sz w:val="24"/>
        </w:rPr>
        <w:t xml:space="preserve">2. </w:t>
      </w:r>
      <w:r>
        <w:rPr>
          <w:rFonts w:hint="eastAsia"/>
          <w:color w:val="000000"/>
          <w:sz w:val="24"/>
        </w:rPr>
        <w:t>询价小组认为所有投标报价均不合理或所有投标方案均不能满足招标人要求时，有权否决所有投标，询价小组也没有义务必须接受最低报价的投标。</w:t>
      </w:r>
    </w:p>
    <w:p w14:paraId="562F595A">
      <w:pPr>
        <w:spacing w:line="360" w:lineRule="auto"/>
        <w:ind w:firstLine="472" w:firstLineChars="196"/>
        <w:rPr>
          <w:rFonts w:ascii="宋体" w:hAnsi="宋体" w:cs="Arial"/>
          <w:color w:val="000000"/>
          <w:sz w:val="24"/>
        </w:rPr>
      </w:pPr>
      <w:r>
        <w:rPr>
          <w:rFonts w:hint="eastAsia"/>
          <w:b/>
          <w:color w:val="000000"/>
          <w:sz w:val="24"/>
        </w:rPr>
        <w:t xml:space="preserve">3. </w:t>
      </w:r>
      <w:r>
        <w:rPr>
          <w:rFonts w:hint="eastAsia" w:ascii="宋体" w:hAnsi="宋体" w:cs="Arial"/>
          <w:color w:val="000000"/>
          <w:sz w:val="24"/>
        </w:rPr>
        <w:t>出现下列情形之一的，招标人有权决定本次招标作废标处理：</w:t>
      </w:r>
    </w:p>
    <w:p w14:paraId="714B8EFE">
      <w:pPr>
        <w:spacing w:line="360" w:lineRule="auto"/>
        <w:ind w:firstLine="560"/>
        <w:rPr>
          <w:rFonts w:ascii="宋体" w:hAnsi="宋体" w:cs="Arial"/>
          <w:color w:val="000000"/>
          <w:sz w:val="24"/>
        </w:rPr>
      </w:pPr>
      <w:r>
        <w:rPr>
          <w:rFonts w:hint="eastAsia"/>
          <w:color w:val="000000"/>
          <w:sz w:val="24"/>
        </w:rPr>
        <w:t>（</w:t>
      </w:r>
      <w:r>
        <w:rPr>
          <w:color w:val="000000"/>
          <w:sz w:val="24"/>
        </w:rPr>
        <w:t>1</w:t>
      </w:r>
      <w:r>
        <w:rPr>
          <w:rFonts w:hint="eastAsia"/>
          <w:color w:val="000000"/>
          <w:sz w:val="24"/>
        </w:rPr>
        <w:t>）</w:t>
      </w:r>
      <w:r>
        <w:rPr>
          <w:rFonts w:hint="eastAsia" w:ascii="宋体" w:hAnsi="宋体" w:cs="Arial"/>
          <w:color w:val="000000"/>
          <w:sz w:val="24"/>
        </w:rPr>
        <w:t>发生影响招标公平、公正的违法、违规行为的；</w:t>
      </w:r>
    </w:p>
    <w:p w14:paraId="7D94D993">
      <w:pPr>
        <w:spacing w:line="360" w:lineRule="auto"/>
        <w:ind w:firstLine="560"/>
        <w:rPr>
          <w:rFonts w:ascii="宋体" w:hAnsi="宋体" w:cs="Arial"/>
          <w:color w:val="000000"/>
          <w:sz w:val="24"/>
        </w:rPr>
      </w:pPr>
      <w:r>
        <w:rPr>
          <w:rFonts w:hint="eastAsia"/>
          <w:color w:val="000000"/>
          <w:sz w:val="24"/>
        </w:rPr>
        <w:t>（2）</w:t>
      </w:r>
      <w:r>
        <w:rPr>
          <w:rFonts w:hint="eastAsia" w:ascii="宋体" w:hAnsi="宋体" w:cs="Arial"/>
          <w:color w:val="000000"/>
          <w:sz w:val="24"/>
        </w:rPr>
        <w:t>供应商的投标报价均超过了采购预算，学校不能支付的；</w:t>
      </w:r>
    </w:p>
    <w:p w14:paraId="569EFEFD">
      <w:pPr>
        <w:spacing w:line="360" w:lineRule="auto"/>
        <w:ind w:firstLine="560"/>
        <w:rPr>
          <w:rFonts w:ascii="宋体" w:hAnsi="宋体" w:cs="Arial"/>
          <w:color w:val="000000"/>
          <w:sz w:val="24"/>
        </w:rPr>
      </w:pPr>
      <w:r>
        <w:rPr>
          <w:rFonts w:hint="eastAsia"/>
          <w:color w:val="000000"/>
          <w:sz w:val="24"/>
        </w:rPr>
        <w:t>（3）</w:t>
      </w:r>
      <w:r>
        <w:rPr>
          <w:rFonts w:hint="eastAsia" w:ascii="宋体" w:hAnsi="宋体" w:cs="Arial"/>
          <w:color w:val="000000"/>
          <w:sz w:val="24"/>
        </w:rPr>
        <w:t>因重大变故，采购任务取消的。</w:t>
      </w:r>
    </w:p>
    <w:p w14:paraId="6B8B1707">
      <w:pPr>
        <w:spacing w:line="480" w:lineRule="auto"/>
        <w:ind w:firstLine="482" w:firstLineChars="200"/>
        <w:rPr>
          <w:rFonts w:ascii="宋体" w:hAnsi="宋体"/>
          <w:bCs/>
          <w:sz w:val="24"/>
        </w:rPr>
      </w:pPr>
      <w:r>
        <w:rPr>
          <w:rFonts w:hint="eastAsia"/>
          <w:b/>
          <w:color w:val="000000"/>
          <w:sz w:val="24"/>
        </w:rPr>
        <w:t xml:space="preserve">4. </w:t>
      </w:r>
      <w:r>
        <w:rPr>
          <w:rFonts w:hint="eastAsia"/>
          <w:color w:val="000000"/>
          <w:sz w:val="24"/>
        </w:rPr>
        <w:t>对未中标的供应商，招标人不作未中标解释。</w:t>
      </w:r>
    </w:p>
    <w:p w14:paraId="320C82C1">
      <w:pPr>
        <w:widowControl/>
        <w:jc w:val="center"/>
        <w:rPr>
          <w:rFonts w:ascii="黑体" w:hAnsi="宋体" w:eastAsia="黑体" w:cs="宋体"/>
          <w:sz w:val="28"/>
          <w:szCs w:val="28"/>
        </w:rPr>
      </w:pPr>
      <w:r>
        <w:rPr>
          <w:rFonts w:hint="eastAsia" w:ascii="黑体" w:hAnsi="宋体" w:eastAsia="黑体" w:cs="宋体"/>
          <w:sz w:val="28"/>
          <w:szCs w:val="28"/>
        </w:rPr>
        <w:t>综合评分表</w:t>
      </w:r>
    </w:p>
    <w:p w14:paraId="0BAE1532">
      <w:pPr>
        <w:snapToGrid w:val="0"/>
        <w:spacing w:line="360" w:lineRule="auto"/>
        <w:rPr>
          <w:rFonts w:ascii="宋体" w:cs="宋体"/>
          <w:snapToGrid w:val="0"/>
          <w:kern w:val="0"/>
        </w:rPr>
      </w:pPr>
    </w:p>
    <w:tbl>
      <w:tblPr>
        <w:tblStyle w:val="8"/>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6382"/>
        <w:gridCol w:w="818"/>
        <w:gridCol w:w="670"/>
      </w:tblGrid>
      <w:tr w14:paraId="724B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0" w:type="dxa"/>
            <w:vAlign w:val="center"/>
          </w:tcPr>
          <w:p w14:paraId="001C525C">
            <w:pPr>
              <w:tabs>
                <w:tab w:val="left" w:pos="7395"/>
              </w:tabs>
              <w:jc w:val="center"/>
              <w:rPr>
                <w:rFonts w:ascii="宋体" w:hAnsi="宋体" w:cs="宋体"/>
                <w:b/>
                <w:bCs/>
                <w:szCs w:val="21"/>
              </w:rPr>
            </w:pPr>
            <w:r>
              <w:rPr>
                <w:rFonts w:hint="eastAsia" w:ascii="宋体" w:hAnsi="宋体" w:cs="宋体"/>
                <w:b/>
                <w:bCs/>
                <w:szCs w:val="21"/>
              </w:rPr>
              <w:t>内容</w:t>
            </w:r>
          </w:p>
        </w:tc>
        <w:tc>
          <w:tcPr>
            <w:tcW w:w="6382" w:type="dxa"/>
            <w:vAlign w:val="center"/>
          </w:tcPr>
          <w:p w14:paraId="61A448EB">
            <w:pPr>
              <w:tabs>
                <w:tab w:val="left" w:pos="7395"/>
              </w:tabs>
              <w:jc w:val="center"/>
              <w:rPr>
                <w:rFonts w:ascii="宋体" w:hAnsi="宋体" w:cs="宋体"/>
                <w:b/>
                <w:bCs/>
                <w:szCs w:val="21"/>
              </w:rPr>
            </w:pPr>
            <w:r>
              <w:rPr>
                <w:rFonts w:hint="eastAsia" w:ascii="宋体" w:hAnsi="宋体" w:cs="宋体"/>
                <w:b/>
                <w:bCs/>
                <w:szCs w:val="21"/>
              </w:rPr>
              <w:t>评标方法</w:t>
            </w:r>
          </w:p>
        </w:tc>
        <w:tc>
          <w:tcPr>
            <w:tcW w:w="818" w:type="dxa"/>
            <w:vAlign w:val="center"/>
          </w:tcPr>
          <w:p w14:paraId="5E72BC0A">
            <w:pPr>
              <w:tabs>
                <w:tab w:val="left" w:pos="7395"/>
              </w:tabs>
              <w:jc w:val="center"/>
              <w:rPr>
                <w:rFonts w:ascii="宋体" w:hAnsi="宋体" w:cs="宋体"/>
                <w:b/>
                <w:bCs/>
                <w:szCs w:val="21"/>
              </w:rPr>
            </w:pPr>
            <w:r>
              <w:rPr>
                <w:rFonts w:hint="eastAsia" w:ascii="宋体" w:hAnsi="宋体" w:cs="宋体"/>
                <w:b/>
                <w:bCs/>
                <w:szCs w:val="21"/>
              </w:rPr>
              <w:t>评分标准</w:t>
            </w:r>
          </w:p>
        </w:tc>
        <w:tc>
          <w:tcPr>
            <w:tcW w:w="670" w:type="dxa"/>
            <w:vAlign w:val="center"/>
          </w:tcPr>
          <w:p w14:paraId="1FED7DE7">
            <w:pPr>
              <w:tabs>
                <w:tab w:val="left" w:pos="7395"/>
              </w:tabs>
              <w:jc w:val="center"/>
              <w:rPr>
                <w:rFonts w:ascii="宋体" w:hAnsi="宋体" w:cs="宋体"/>
                <w:b/>
                <w:bCs/>
                <w:szCs w:val="21"/>
              </w:rPr>
            </w:pPr>
            <w:r>
              <w:rPr>
                <w:rFonts w:hint="eastAsia" w:ascii="宋体" w:hAnsi="宋体" w:cs="宋体"/>
                <w:b/>
                <w:bCs/>
                <w:szCs w:val="21"/>
              </w:rPr>
              <w:t>得分</w:t>
            </w:r>
          </w:p>
        </w:tc>
      </w:tr>
      <w:tr w14:paraId="2C2A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0" w:type="dxa"/>
            <w:vAlign w:val="center"/>
          </w:tcPr>
          <w:p w14:paraId="2BC900B3">
            <w:pPr>
              <w:tabs>
                <w:tab w:val="left" w:pos="7395"/>
              </w:tabs>
              <w:jc w:val="center"/>
              <w:rPr>
                <w:szCs w:val="21"/>
              </w:rPr>
            </w:pPr>
            <w:r>
              <w:rPr>
                <w:rFonts w:hint="eastAsia"/>
                <w:szCs w:val="21"/>
              </w:rPr>
              <w:t>1、投标报价（</w:t>
            </w:r>
            <w:r>
              <w:rPr>
                <w:szCs w:val="21"/>
              </w:rPr>
              <w:t>70</w:t>
            </w:r>
            <w:r>
              <w:rPr>
                <w:rFonts w:hint="eastAsia"/>
                <w:szCs w:val="21"/>
              </w:rPr>
              <w:t>分）</w:t>
            </w:r>
          </w:p>
        </w:tc>
        <w:tc>
          <w:tcPr>
            <w:tcW w:w="6382" w:type="dxa"/>
            <w:vAlign w:val="center"/>
          </w:tcPr>
          <w:p w14:paraId="7F7514C6">
            <w:pPr>
              <w:pStyle w:val="4"/>
              <w:snapToGrid w:val="0"/>
              <w:ind w:left="1" w:firstLine="420" w:firstLineChars="200"/>
              <w:rPr>
                <w:rFonts w:ascii="宋体" w:hAnsi="宋体" w:cs="Arial"/>
                <w:szCs w:val="21"/>
              </w:rPr>
            </w:pPr>
            <w:r>
              <w:rPr>
                <w:rFonts w:ascii="宋体" w:hAnsi="宋体" w:cs="Arial"/>
                <w:szCs w:val="21"/>
              </w:rPr>
              <w:t>以有效投标文件的报价算术平均值为</w:t>
            </w:r>
            <w:r>
              <w:rPr>
                <w:rFonts w:hint="eastAsia" w:ascii="宋体" w:hAnsi="宋体" w:cs="Arial"/>
                <w:szCs w:val="21"/>
              </w:rPr>
              <w:t>A；最高限价为B；标基准价为 C；C=A*Q1*K1+B*Q2*K2 开标前由投标人推选代表随机抽取 K1 值、Q1 值（K1 值取值范围为 96%，97%，98%，K2 值设定为 95%，Q1 值取值范围为 65%，70%，75%，Q2 值=1-Q1）。等于评标基准价 C 的为最高分（70 分），并以此为基准来确定其他有效投标人的价格得分。投标价每高于基准价的 1％扣 0.9 分，低于基准价的 1％扣 0.6 分，不足 1％的按内插法计算（小数点后保留两位）。</w:t>
            </w:r>
          </w:p>
        </w:tc>
        <w:tc>
          <w:tcPr>
            <w:tcW w:w="818" w:type="dxa"/>
            <w:vAlign w:val="center"/>
          </w:tcPr>
          <w:p w14:paraId="48CD419B">
            <w:pPr>
              <w:tabs>
                <w:tab w:val="left" w:pos="7395"/>
              </w:tabs>
              <w:jc w:val="center"/>
              <w:rPr>
                <w:rFonts w:ascii="宋体" w:hAnsi="宋体" w:cs="宋体"/>
                <w:szCs w:val="21"/>
              </w:rPr>
            </w:pPr>
            <w:r>
              <w:rPr>
                <w:szCs w:val="21"/>
              </w:rPr>
              <w:t>70</w:t>
            </w:r>
          </w:p>
        </w:tc>
        <w:tc>
          <w:tcPr>
            <w:tcW w:w="670" w:type="dxa"/>
            <w:vAlign w:val="center"/>
          </w:tcPr>
          <w:p w14:paraId="6E2E3EA0">
            <w:pPr>
              <w:tabs>
                <w:tab w:val="left" w:pos="7395"/>
              </w:tabs>
              <w:jc w:val="center"/>
              <w:rPr>
                <w:rFonts w:ascii="宋体" w:hAnsi="宋体" w:cs="宋体"/>
                <w:szCs w:val="21"/>
              </w:rPr>
            </w:pPr>
          </w:p>
        </w:tc>
      </w:tr>
      <w:tr w14:paraId="7542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0" w:type="dxa"/>
            <w:vMerge w:val="restart"/>
            <w:vAlign w:val="center"/>
          </w:tcPr>
          <w:p w14:paraId="1AD717EB">
            <w:pPr>
              <w:tabs>
                <w:tab w:val="left" w:pos="7395"/>
              </w:tabs>
              <w:jc w:val="center"/>
              <w:rPr>
                <w:szCs w:val="21"/>
              </w:rPr>
            </w:pPr>
            <w:r>
              <w:rPr>
                <w:rFonts w:hint="eastAsia"/>
                <w:szCs w:val="21"/>
              </w:rPr>
              <w:t>3、施工组织设计（</w:t>
            </w:r>
            <w:r>
              <w:rPr>
                <w:szCs w:val="21"/>
              </w:rPr>
              <w:t>24</w:t>
            </w:r>
            <w:r>
              <w:rPr>
                <w:rFonts w:hint="eastAsia"/>
                <w:szCs w:val="21"/>
              </w:rPr>
              <w:t>分）</w:t>
            </w:r>
          </w:p>
        </w:tc>
        <w:tc>
          <w:tcPr>
            <w:tcW w:w="6382" w:type="dxa"/>
            <w:vAlign w:val="center"/>
          </w:tcPr>
          <w:p w14:paraId="19250778">
            <w:pPr>
              <w:pStyle w:val="3"/>
              <w:rPr>
                <w:rFonts w:ascii="Times New Roman" w:hAnsi="Times New Roman"/>
                <w:szCs w:val="21"/>
              </w:rPr>
            </w:pPr>
            <w:r>
              <w:rPr>
                <w:rFonts w:hint="eastAsia" w:ascii="Times New Roman" w:hAnsi="Times New Roman"/>
                <w:szCs w:val="21"/>
              </w:rPr>
              <w:t>总体概述：施工组织总体设想、方案针对性及施工标段划分；思路清晰、定位准确、理解透彻、全面得：5 分；思路较为清晰、定位较为准确、理解较为透彻、较全面得：4 分；思路不清晰、定位不准确、理解不透彻、不全面得：3 分，无不得分）</w:t>
            </w:r>
          </w:p>
        </w:tc>
        <w:tc>
          <w:tcPr>
            <w:tcW w:w="818" w:type="dxa"/>
            <w:vAlign w:val="center"/>
          </w:tcPr>
          <w:p w14:paraId="34C7770E">
            <w:pPr>
              <w:tabs>
                <w:tab w:val="left" w:pos="7395"/>
              </w:tabs>
              <w:jc w:val="center"/>
              <w:rPr>
                <w:szCs w:val="21"/>
              </w:rPr>
            </w:pPr>
            <w:r>
              <w:rPr>
                <w:szCs w:val="21"/>
              </w:rPr>
              <w:t>5</w:t>
            </w:r>
          </w:p>
        </w:tc>
        <w:tc>
          <w:tcPr>
            <w:tcW w:w="670" w:type="dxa"/>
            <w:vAlign w:val="center"/>
          </w:tcPr>
          <w:p w14:paraId="5B96EB5C">
            <w:pPr>
              <w:tabs>
                <w:tab w:val="left" w:pos="7395"/>
              </w:tabs>
              <w:rPr>
                <w:rFonts w:ascii="宋体" w:hAnsi="宋体" w:cs="宋体"/>
                <w:szCs w:val="21"/>
              </w:rPr>
            </w:pPr>
          </w:p>
        </w:tc>
      </w:tr>
      <w:tr w14:paraId="02F9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0" w:type="dxa"/>
            <w:vMerge w:val="continue"/>
            <w:vAlign w:val="center"/>
          </w:tcPr>
          <w:p w14:paraId="2615BE0C">
            <w:pPr>
              <w:tabs>
                <w:tab w:val="left" w:pos="7395"/>
              </w:tabs>
              <w:rPr>
                <w:rFonts w:ascii="宋体" w:hAnsi="宋体" w:cs="宋体"/>
                <w:szCs w:val="21"/>
              </w:rPr>
            </w:pPr>
          </w:p>
        </w:tc>
        <w:tc>
          <w:tcPr>
            <w:tcW w:w="6382" w:type="dxa"/>
            <w:vAlign w:val="center"/>
          </w:tcPr>
          <w:p w14:paraId="7D3CDC82">
            <w:pPr>
              <w:tabs>
                <w:tab w:val="left" w:pos="7395"/>
              </w:tabs>
              <w:jc w:val="left"/>
              <w:rPr>
                <w:szCs w:val="21"/>
              </w:rPr>
            </w:pPr>
            <w:r>
              <w:rPr>
                <w:rFonts w:hint="eastAsia" w:ascii="宋体" w:hAnsi="宋体"/>
                <w:szCs w:val="21"/>
              </w:rPr>
              <w:t>施工现场：平面布置、临时设施、材料堆放、运输布置；现场布置方案合理、考虑周全：3 分；现场布置方案较合理、考虑较为周全：2 分；现场布置方案不合理、考虑不周全：1 分，无不得分）</w:t>
            </w:r>
          </w:p>
        </w:tc>
        <w:tc>
          <w:tcPr>
            <w:tcW w:w="818" w:type="dxa"/>
            <w:vAlign w:val="center"/>
          </w:tcPr>
          <w:p w14:paraId="1B97522A">
            <w:pPr>
              <w:tabs>
                <w:tab w:val="left" w:pos="7395"/>
              </w:tabs>
              <w:jc w:val="center"/>
              <w:rPr>
                <w:szCs w:val="21"/>
              </w:rPr>
            </w:pPr>
            <w:r>
              <w:rPr>
                <w:szCs w:val="21"/>
              </w:rPr>
              <w:t>3</w:t>
            </w:r>
          </w:p>
        </w:tc>
        <w:tc>
          <w:tcPr>
            <w:tcW w:w="670" w:type="dxa"/>
            <w:vAlign w:val="center"/>
          </w:tcPr>
          <w:p w14:paraId="7D42397E">
            <w:pPr>
              <w:tabs>
                <w:tab w:val="left" w:pos="7395"/>
              </w:tabs>
              <w:rPr>
                <w:rFonts w:ascii="宋体" w:hAnsi="宋体" w:cs="宋体"/>
                <w:szCs w:val="21"/>
              </w:rPr>
            </w:pPr>
          </w:p>
        </w:tc>
      </w:tr>
      <w:tr w14:paraId="4664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0" w:type="dxa"/>
            <w:vMerge w:val="continue"/>
            <w:vAlign w:val="center"/>
          </w:tcPr>
          <w:p w14:paraId="333B93F9">
            <w:pPr>
              <w:tabs>
                <w:tab w:val="left" w:pos="7395"/>
              </w:tabs>
              <w:rPr>
                <w:rFonts w:ascii="宋体" w:hAnsi="宋体" w:cs="宋体"/>
                <w:szCs w:val="21"/>
              </w:rPr>
            </w:pPr>
          </w:p>
        </w:tc>
        <w:tc>
          <w:tcPr>
            <w:tcW w:w="6382" w:type="dxa"/>
            <w:vAlign w:val="center"/>
          </w:tcPr>
          <w:p w14:paraId="55502703">
            <w:pPr>
              <w:pStyle w:val="4"/>
              <w:snapToGrid w:val="0"/>
              <w:jc w:val="left"/>
              <w:rPr>
                <w:rFonts w:ascii="宋体" w:hAnsi="宋体"/>
                <w:szCs w:val="21"/>
              </w:rPr>
            </w:pPr>
            <w:r>
              <w:rPr>
                <w:rFonts w:hint="eastAsia" w:ascii="宋体" w:hAnsi="宋体"/>
                <w:szCs w:val="21"/>
              </w:rPr>
              <w:t>施工进度计划和各阶段进度计划及保证措施（需考虑节假日、校内考试会议等停工延时）；措施详尽、周全：3分；措施较为详尽、较为周全：2 分；措施不详尽、不周全：1 分，无不得分）</w:t>
            </w:r>
          </w:p>
        </w:tc>
        <w:tc>
          <w:tcPr>
            <w:tcW w:w="818" w:type="dxa"/>
            <w:vAlign w:val="center"/>
          </w:tcPr>
          <w:p w14:paraId="13F4E40C">
            <w:pPr>
              <w:tabs>
                <w:tab w:val="left" w:pos="7395"/>
              </w:tabs>
              <w:jc w:val="center"/>
              <w:rPr>
                <w:szCs w:val="21"/>
              </w:rPr>
            </w:pPr>
            <w:r>
              <w:rPr>
                <w:szCs w:val="21"/>
              </w:rPr>
              <w:t>3</w:t>
            </w:r>
          </w:p>
        </w:tc>
        <w:tc>
          <w:tcPr>
            <w:tcW w:w="670" w:type="dxa"/>
            <w:vAlign w:val="center"/>
          </w:tcPr>
          <w:p w14:paraId="7D85545A">
            <w:pPr>
              <w:tabs>
                <w:tab w:val="left" w:pos="7395"/>
              </w:tabs>
              <w:rPr>
                <w:rFonts w:ascii="宋体" w:hAnsi="宋体" w:cs="宋体"/>
                <w:szCs w:val="21"/>
              </w:rPr>
            </w:pPr>
          </w:p>
        </w:tc>
      </w:tr>
      <w:tr w14:paraId="0F1E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0" w:type="dxa"/>
            <w:vMerge w:val="continue"/>
            <w:vAlign w:val="center"/>
          </w:tcPr>
          <w:p w14:paraId="3D219E68">
            <w:pPr>
              <w:tabs>
                <w:tab w:val="left" w:pos="7395"/>
              </w:tabs>
              <w:rPr>
                <w:rFonts w:ascii="宋体" w:hAnsi="宋体" w:cs="宋体"/>
                <w:szCs w:val="21"/>
              </w:rPr>
            </w:pPr>
          </w:p>
        </w:tc>
        <w:tc>
          <w:tcPr>
            <w:tcW w:w="6382" w:type="dxa"/>
            <w:vAlign w:val="center"/>
          </w:tcPr>
          <w:p w14:paraId="1605620F">
            <w:pPr>
              <w:pStyle w:val="4"/>
              <w:snapToGrid w:val="0"/>
              <w:jc w:val="left"/>
              <w:rPr>
                <w:szCs w:val="21"/>
              </w:rPr>
            </w:pPr>
            <w:r>
              <w:rPr>
                <w:rFonts w:hint="eastAsia" w:ascii="宋体" w:hAnsi="宋体"/>
                <w:szCs w:val="21"/>
              </w:rPr>
              <w:t>各分部分项工程的施工方案及质量保证措施；措施详尽、周全:3 分；措施较为详尽、较为周全：2 分；措施不详尽、不周全：1 分，无不得分）</w:t>
            </w:r>
          </w:p>
        </w:tc>
        <w:tc>
          <w:tcPr>
            <w:tcW w:w="818" w:type="dxa"/>
            <w:vAlign w:val="center"/>
          </w:tcPr>
          <w:p w14:paraId="1B757B79">
            <w:pPr>
              <w:tabs>
                <w:tab w:val="left" w:pos="7395"/>
              </w:tabs>
              <w:jc w:val="center"/>
              <w:rPr>
                <w:szCs w:val="21"/>
              </w:rPr>
            </w:pPr>
            <w:r>
              <w:rPr>
                <w:szCs w:val="21"/>
              </w:rPr>
              <w:t>3</w:t>
            </w:r>
          </w:p>
        </w:tc>
        <w:tc>
          <w:tcPr>
            <w:tcW w:w="670" w:type="dxa"/>
            <w:vAlign w:val="center"/>
          </w:tcPr>
          <w:p w14:paraId="1DFA727B">
            <w:pPr>
              <w:tabs>
                <w:tab w:val="left" w:pos="7395"/>
              </w:tabs>
              <w:rPr>
                <w:rFonts w:ascii="宋体" w:hAnsi="宋体" w:cs="宋体"/>
                <w:szCs w:val="21"/>
              </w:rPr>
            </w:pPr>
          </w:p>
        </w:tc>
      </w:tr>
      <w:tr w14:paraId="20F2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410" w:type="dxa"/>
            <w:vMerge w:val="continue"/>
            <w:vAlign w:val="center"/>
          </w:tcPr>
          <w:p w14:paraId="428577D9">
            <w:pPr>
              <w:tabs>
                <w:tab w:val="left" w:pos="7395"/>
              </w:tabs>
              <w:rPr>
                <w:rFonts w:ascii="宋体" w:hAnsi="宋体" w:cs="宋体"/>
                <w:szCs w:val="21"/>
              </w:rPr>
            </w:pPr>
          </w:p>
        </w:tc>
        <w:tc>
          <w:tcPr>
            <w:tcW w:w="6382" w:type="dxa"/>
            <w:vAlign w:val="center"/>
          </w:tcPr>
          <w:p w14:paraId="770C0149">
            <w:pPr>
              <w:pStyle w:val="4"/>
              <w:snapToGrid w:val="0"/>
              <w:jc w:val="left"/>
              <w:rPr>
                <w:szCs w:val="21"/>
              </w:rPr>
            </w:pPr>
            <w:r>
              <w:rPr>
                <w:rFonts w:hint="eastAsia"/>
                <w:szCs w:val="21"/>
              </w:rPr>
              <w:t>安全文明施工及环境保护措施；措施详尽、周全: 2 分；措施较为详尽、较为周全：1 分；措施不详尽、不周全：0.5分，无不得分）</w:t>
            </w:r>
          </w:p>
        </w:tc>
        <w:tc>
          <w:tcPr>
            <w:tcW w:w="818" w:type="dxa"/>
            <w:vAlign w:val="center"/>
          </w:tcPr>
          <w:p w14:paraId="097950D7">
            <w:pPr>
              <w:tabs>
                <w:tab w:val="left" w:pos="7395"/>
              </w:tabs>
              <w:jc w:val="center"/>
              <w:rPr>
                <w:szCs w:val="21"/>
              </w:rPr>
            </w:pPr>
            <w:r>
              <w:rPr>
                <w:szCs w:val="21"/>
              </w:rPr>
              <w:t>2</w:t>
            </w:r>
          </w:p>
        </w:tc>
        <w:tc>
          <w:tcPr>
            <w:tcW w:w="670" w:type="dxa"/>
            <w:vAlign w:val="center"/>
          </w:tcPr>
          <w:p w14:paraId="7E6399C1">
            <w:pPr>
              <w:tabs>
                <w:tab w:val="left" w:pos="7395"/>
              </w:tabs>
              <w:rPr>
                <w:rFonts w:ascii="宋体" w:hAnsi="宋体" w:cs="宋体"/>
                <w:szCs w:val="21"/>
              </w:rPr>
            </w:pPr>
          </w:p>
        </w:tc>
      </w:tr>
      <w:tr w14:paraId="6033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410" w:type="dxa"/>
            <w:vMerge w:val="continue"/>
            <w:vAlign w:val="center"/>
          </w:tcPr>
          <w:p w14:paraId="3FDCAB97">
            <w:pPr>
              <w:tabs>
                <w:tab w:val="left" w:pos="7395"/>
              </w:tabs>
              <w:rPr>
                <w:rFonts w:ascii="宋体" w:hAnsi="宋体" w:cs="宋体"/>
                <w:szCs w:val="21"/>
              </w:rPr>
            </w:pPr>
          </w:p>
        </w:tc>
        <w:tc>
          <w:tcPr>
            <w:tcW w:w="6382" w:type="dxa"/>
            <w:vAlign w:val="center"/>
          </w:tcPr>
          <w:p w14:paraId="177C71F8">
            <w:pPr>
              <w:pStyle w:val="4"/>
              <w:snapToGrid w:val="0"/>
              <w:jc w:val="left"/>
              <w:rPr>
                <w:szCs w:val="21"/>
              </w:rPr>
            </w:pPr>
            <w:r>
              <w:t>项目管理班子的人员配置、素质及管理经验；人员、 机械配备齐全：2 分；人员、机械配备一般：1 分；人员、 机械配备较少：0.5 分，无不得分）</w:t>
            </w:r>
          </w:p>
        </w:tc>
        <w:tc>
          <w:tcPr>
            <w:tcW w:w="818" w:type="dxa"/>
            <w:vAlign w:val="center"/>
          </w:tcPr>
          <w:p w14:paraId="0CE02378">
            <w:pPr>
              <w:tabs>
                <w:tab w:val="left" w:pos="7395"/>
              </w:tabs>
              <w:jc w:val="center"/>
              <w:rPr>
                <w:szCs w:val="21"/>
              </w:rPr>
            </w:pPr>
            <w:r>
              <w:rPr>
                <w:szCs w:val="21"/>
              </w:rPr>
              <w:t>2</w:t>
            </w:r>
          </w:p>
        </w:tc>
        <w:tc>
          <w:tcPr>
            <w:tcW w:w="670" w:type="dxa"/>
            <w:vAlign w:val="center"/>
          </w:tcPr>
          <w:p w14:paraId="74462F26">
            <w:pPr>
              <w:tabs>
                <w:tab w:val="left" w:pos="7395"/>
              </w:tabs>
              <w:rPr>
                <w:rFonts w:ascii="宋体" w:hAnsi="宋体" w:cs="宋体"/>
                <w:szCs w:val="21"/>
              </w:rPr>
            </w:pPr>
          </w:p>
        </w:tc>
      </w:tr>
      <w:tr w14:paraId="2043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410" w:type="dxa"/>
            <w:vMerge w:val="continue"/>
            <w:vAlign w:val="center"/>
          </w:tcPr>
          <w:p w14:paraId="7DD87842">
            <w:pPr>
              <w:tabs>
                <w:tab w:val="left" w:pos="7395"/>
              </w:tabs>
              <w:rPr>
                <w:rFonts w:ascii="宋体" w:hAnsi="宋体" w:cs="宋体"/>
                <w:szCs w:val="21"/>
              </w:rPr>
            </w:pPr>
          </w:p>
        </w:tc>
        <w:tc>
          <w:tcPr>
            <w:tcW w:w="6382" w:type="dxa"/>
            <w:vAlign w:val="center"/>
          </w:tcPr>
          <w:p w14:paraId="23BF239F">
            <w:pPr>
              <w:pStyle w:val="4"/>
              <w:snapToGrid w:val="0"/>
              <w:jc w:val="left"/>
              <w:rPr>
                <w:szCs w:val="21"/>
              </w:rPr>
            </w:pPr>
            <w:r>
              <w:rPr>
                <w:rFonts w:hint="eastAsia"/>
                <w:szCs w:val="21"/>
              </w:rPr>
              <w:t>劳动力、机械设备和材料投入计划；计划周全、合理：3 分；计划较周全、较合理：2 分；计划不周全、不合理：1分；无不得分</w:t>
            </w:r>
          </w:p>
        </w:tc>
        <w:tc>
          <w:tcPr>
            <w:tcW w:w="818" w:type="dxa"/>
            <w:vAlign w:val="center"/>
          </w:tcPr>
          <w:p w14:paraId="14601E30">
            <w:pPr>
              <w:tabs>
                <w:tab w:val="left" w:pos="7395"/>
              </w:tabs>
              <w:jc w:val="center"/>
              <w:rPr>
                <w:szCs w:val="21"/>
              </w:rPr>
            </w:pPr>
            <w:r>
              <w:rPr>
                <w:rFonts w:hint="eastAsia"/>
                <w:szCs w:val="21"/>
              </w:rPr>
              <w:t>3</w:t>
            </w:r>
          </w:p>
        </w:tc>
        <w:tc>
          <w:tcPr>
            <w:tcW w:w="670" w:type="dxa"/>
            <w:vAlign w:val="center"/>
          </w:tcPr>
          <w:p w14:paraId="0ACC0125">
            <w:pPr>
              <w:tabs>
                <w:tab w:val="left" w:pos="7395"/>
              </w:tabs>
              <w:rPr>
                <w:rFonts w:ascii="宋体" w:hAnsi="宋体" w:cs="宋体"/>
                <w:szCs w:val="21"/>
              </w:rPr>
            </w:pPr>
          </w:p>
        </w:tc>
      </w:tr>
      <w:tr w14:paraId="215C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410" w:type="dxa"/>
            <w:vMerge w:val="continue"/>
            <w:vAlign w:val="center"/>
          </w:tcPr>
          <w:p w14:paraId="696A260D">
            <w:pPr>
              <w:tabs>
                <w:tab w:val="left" w:pos="7395"/>
              </w:tabs>
              <w:rPr>
                <w:rFonts w:ascii="宋体" w:hAnsi="宋体" w:cs="宋体"/>
                <w:szCs w:val="21"/>
              </w:rPr>
            </w:pPr>
          </w:p>
        </w:tc>
        <w:tc>
          <w:tcPr>
            <w:tcW w:w="6382" w:type="dxa"/>
            <w:vAlign w:val="center"/>
          </w:tcPr>
          <w:p w14:paraId="62A822AF">
            <w:pPr>
              <w:pStyle w:val="4"/>
              <w:snapToGrid w:val="0"/>
              <w:jc w:val="left"/>
              <w:rPr>
                <w:szCs w:val="21"/>
              </w:rPr>
            </w:pPr>
            <w:r>
              <w:rPr>
                <w:rFonts w:hint="eastAsia"/>
                <w:szCs w:val="21"/>
              </w:rPr>
              <w:t>关键施工技术、工艺及工程项目实施的重点、难点和解决方案；方案描述详尽，针对性强：3 分；描述较详尽，针对性较强：2 分；描述不详尽，针对性差：1 分，无不得分）</w:t>
            </w:r>
          </w:p>
        </w:tc>
        <w:tc>
          <w:tcPr>
            <w:tcW w:w="818" w:type="dxa"/>
            <w:vAlign w:val="center"/>
          </w:tcPr>
          <w:p w14:paraId="7EF90449">
            <w:pPr>
              <w:tabs>
                <w:tab w:val="left" w:pos="7395"/>
              </w:tabs>
              <w:jc w:val="center"/>
              <w:rPr>
                <w:szCs w:val="21"/>
              </w:rPr>
            </w:pPr>
            <w:r>
              <w:rPr>
                <w:rFonts w:hint="eastAsia"/>
                <w:szCs w:val="21"/>
              </w:rPr>
              <w:t>3</w:t>
            </w:r>
          </w:p>
        </w:tc>
        <w:tc>
          <w:tcPr>
            <w:tcW w:w="670" w:type="dxa"/>
            <w:vAlign w:val="center"/>
          </w:tcPr>
          <w:p w14:paraId="6C2499DB">
            <w:pPr>
              <w:tabs>
                <w:tab w:val="left" w:pos="7395"/>
              </w:tabs>
              <w:rPr>
                <w:rFonts w:ascii="宋体" w:hAnsi="宋体" w:cs="宋体"/>
                <w:szCs w:val="21"/>
              </w:rPr>
            </w:pPr>
          </w:p>
        </w:tc>
      </w:tr>
      <w:tr w14:paraId="7D77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0" w:type="dxa"/>
            <w:vAlign w:val="center"/>
          </w:tcPr>
          <w:p w14:paraId="2DA0A556">
            <w:pPr>
              <w:tabs>
                <w:tab w:val="left" w:pos="7395"/>
              </w:tabs>
              <w:jc w:val="center"/>
              <w:rPr>
                <w:szCs w:val="21"/>
              </w:rPr>
            </w:pPr>
            <w:r>
              <w:rPr>
                <w:szCs w:val="21"/>
              </w:rPr>
              <w:t>4</w:t>
            </w:r>
            <w:r>
              <w:rPr>
                <w:rFonts w:hint="eastAsia"/>
                <w:szCs w:val="21"/>
              </w:rPr>
              <w:t>、企业</w:t>
            </w:r>
            <w:r>
              <w:rPr>
                <w:rFonts w:hint="eastAsia"/>
                <w:szCs w:val="21"/>
                <w:lang w:val="en-US" w:eastAsia="zh-CN"/>
              </w:rPr>
              <w:t>资质及</w:t>
            </w:r>
            <w:r>
              <w:rPr>
                <w:rFonts w:hint="eastAsia"/>
                <w:szCs w:val="21"/>
              </w:rPr>
              <w:t>业绩（</w:t>
            </w:r>
            <w:r>
              <w:rPr>
                <w:szCs w:val="21"/>
              </w:rPr>
              <w:t>3</w:t>
            </w:r>
            <w:r>
              <w:rPr>
                <w:rFonts w:hint="eastAsia"/>
                <w:szCs w:val="21"/>
              </w:rPr>
              <w:t>分）</w:t>
            </w:r>
          </w:p>
        </w:tc>
        <w:tc>
          <w:tcPr>
            <w:tcW w:w="6382" w:type="dxa"/>
            <w:vAlign w:val="center"/>
          </w:tcPr>
          <w:p w14:paraId="6EF6CA72">
            <w:pPr>
              <w:tabs>
                <w:tab w:val="left" w:pos="7395"/>
              </w:tabs>
              <w:jc w:val="left"/>
              <w:rPr>
                <w:szCs w:val="21"/>
              </w:rPr>
            </w:pPr>
            <w:r>
              <w:rPr>
                <w:rFonts w:hint="eastAsia"/>
                <w:szCs w:val="21"/>
                <w:lang w:val="en-US" w:eastAsia="zh-CN"/>
              </w:rPr>
              <w:t>具备</w:t>
            </w:r>
            <w:r>
              <w:rPr>
                <w:rFonts w:ascii="Helvetica" w:hAnsi="Helvetica" w:eastAsia="Helvetica" w:cs="Helvetica"/>
                <w:i w:val="0"/>
                <w:iCs w:val="0"/>
                <w:caps w:val="0"/>
                <w:color w:val="333333"/>
                <w:spacing w:val="0"/>
                <w:sz w:val="21"/>
                <w:szCs w:val="21"/>
                <w:shd w:val="clear" w:fill="FFFFFF"/>
              </w:rPr>
              <w:t>建筑机电安装工程专业承包资质</w:t>
            </w:r>
            <w:r>
              <w:rPr>
                <w:rFonts w:hint="eastAsia" w:ascii="Helvetica" w:hAnsi="Helvetica" w:cs="Helvetica"/>
                <w:i w:val="0"/>
                <w:iCs w:val="0"/>
                <w:caps w:val="0"/>
                <w:color w:val="333333"/>
                <w:spacing w:val="0"/>
                <w:sz w:val="21"/>
                <w:szCs w:val="21"/>
                <w:shd w:val="clear" w:fill="FFFFFF"/>
                <w:lang w:val="en-US" w:eastAsia="zh-CN"/>
              </w:rPr>
              <w:t>得1分，无不得分；</w:t>
            </w:r>
            <w:r>
              <w:rPr>
                <w:rFonts w:hint="eastAsia"/>
                <w:szCs w:val="21"/>
              </w:rPr>
              <w:t>投标人自 20</w:t>
            </w:r>
            <w:r>
              <w:rPr>
                <w:szCs w:val="21"/>
              </w:rPr>
              <w:t>2</w:t>
            </w:r>
            <w:r>
              <w:rPr>
                <w:rFonts w:hint="eastAsia"/>
                <w:szCs w:val="21"/>
                <w:lang w:val="en-US" w:eastAsia="zh-CN"/>
              </w:rPr>
              <w:t>3</w:t>
            </w:r>
            <w:r>
              <w:rPr>
                <w:rFonts w:hint="eastAsia"/>
                <w:szCs w:val="21"/>
              </w:rPr>
              <w:t>年 1 月 1 日至投标截止时间完成过单项合同金额</w:t>
            </w:r>
            <w:r>
              <w:rPr>
                <w:szCs w:val="21"/>
              </w:rPr>
              <w:t>15</w:t>
            </w:r>
            <w:r>
              <w:rPr>
                <w:rFonts w:hint="eastAsia"/>
                <w:szCs w:val="21"/>
              </w:rPr>
              <w:t xml:space="preserve">万及以上类似改造出新或装饰装修工程施工业绩。（提供合同、中标通知书、竣工验收证明复印件加盖公章装订在投标文件中，原件备查。金额以中标通知书为准，时间以竣工验收证明上的竣工验收时间为准，提供的证明材料必须能反映出相关数据，否则视为未提供）提供 1 个得 </w:t>
            </w:r>
            <w:r>
              <w:rPr>
                <w:rFonts w:hint="eastAsia"/>
                <w:szCs w:val="21"/>
                <w:lang w:val="en-US" w:eastAsia="zh-CN"/>
              </w:rPr>
              <w:t>2</w:t>
            </w:r>
            <w:r>
              <w:rPr>
                <w:rFonts w:hint="eastAsia"/>
                <w:szCs w:val="21"/>
              </w:rPr>
              <w:t>分</w:t>
            </w:r>
            <w:r>
              <w:rPr>
                <w:rFonts w:hint="eastAsia"/>
                <w:szCs w:val="21"/>
                <w:lang w:val="en-US" w:eastAsia="zh-CN"/>
              </w:rPr>
              <w:t>，</w:t>
            </w:r>
            <w:r>
              <w:rPr>
                <w:rFonts w:hint="eastAsia"/>
                <w:szCs w:val="21"/>
              </w:rPr>
              <w:t>无不得分。</w:t>
            </w:r>
          </w:p>
        </w:tc>
        <w:tc>
          <w:tcPr>
            <w:tcW w:w="818" w:type="dxa"/>
            <w:vAlign w:val="center"/>
          </w:tcPr>
          <w:p w14:paraId="5137EC1D">
            <w:pPr>
              <w:tabs>
                <w:tab w:val="left" w:pos="7395"/>
              </w:tabs>
              <w:jc w:val="center"/>
              <w:rPr>
                <w:rFonts w:ascii="宋体" w:hAnsi="宋体" w:cs="宋体"/>
                <w:szCs w:val="21"/>
              </w:rPr>
            </w:pPr>
            <w:r>
              <w:rPr>
                <w:szCs w:val="21"/>
              </w:rPr>
              <w:t>3</w:t>
            </w:r>
          </w:p>
        </w:tc>
        <w:tc>
          <w:tcPr>
            <w:tcW w:w="670" w:type="dxa"/>
            <w:vAlign w:val="center"/>
          </w:tcPr>
          <w:p w14:paraId="7AF6483C">
            <w:pPr>
              <w:rPr>
                <w:rFonts w:ascii="宋体" w:hAnsi="宋体" w:cs="宋体"/>
                <w:szCs w:val="21"/>
              </w:rPr>
            </w:pPr>
          </w:p>
        </w:tc>
      </w:tr>
      <w:tr w14:paraId="47FD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1410" w:type="dxa"/>
            <w:vAlign w:val="center"/>
          </w:tcPr>
          <w:p w14:paraId="626297B9">
            <w:pPr>
              <w:tabs>
                <w:tab w:val="left" w:pos="7395"/>
              </w:tabs>
              <w:jc w:val="center"/>
              <w:rPr>
                <w:szCs w:val="21"/>
              </w:rPr>
            </w:pPr>
            <w:r>
              <w:rPr>
                <w:szCs w:val="21"/>
              </w:rPr>
              <w:t>5</w:t>
            </w:r>
            <w:r>
              <w:rPr>
                <w:rFonts w:hint="eastAsia"/>
                <w:szCs w:val="21"/>
              </w:rPr>
              <w:t>、售后服务及优惠条件（</w:t>
            </w:r>
            <w:r>
              <w:rPr>
                <w:szCs w:val="21"/>
              </w:rPr>
              <w:t>3</w:t>
            </w:r>
            <w:r>
              <w:rPr>
                <w:rFonts w:hint="eastAsia"/>
                <w:szCs w:val="21"/>
              </w:rPr>
              <w:t>分）</w:t>
            </w:r>
          </w:p>
        </w:tc>
        <w:tc>
          <w:tcPr>
            <w:tcW w:w="6382" w:type="dxa"/>
            <w:vAlign w:val="center"/>
          </w:tcPr>
          <w:p w14:paraId="62AB9946">
            <w:pPr>
              <w:tabs>
                <w:tab w:val="left" w:pos="7395"/>
              </w:tabs>
              <w:jc w:val="left"/>
              <w:rPr>
                <w:szCs w:val="21"/>
              </w:rPr>
            </w:pPr>
            <w:r>
              <w:rPr>
                <w:rFonts w:hint="eastAsia"/>
                <w:szCs w:val="21"/>
              </w:rPr>
              <w:t>有固定的经营场所及专职人员，提供质保期内及质保期满后的售后服务方案（包括售后服务体系、售后服务热线、售后服务响应时间承诺等），以及清单外优惠条件；售后服务方案详尽、售后服务及时、清单外优惠大：3 分，售后服务方案较详尽、售后服务较及时、清单外优惠一般：2 分，售后服务方案不详尽、售后服务不及时、清单外优惠低：1 分，无不得分）。</w:t>
            </w:r>
          </w:p>
        </w:tc>
        <w:tc>
          <w:tcPr>
            <w:tcW w:w="818" w:type="dxa"/>
            <w:vAlign w:val="center"/>
          </w:tcPr>
          <w:p w14:paraId="350156CE">
            <w:pPr>
              <w:tabs>
                <w:tab w:val="left" w:pos="7395"/>
              </w:tabs>
              <w:jc w:val="center"/>
              <w:rPr>
                <w:szCs w:val="21"/>
                <w:highlight w:val="yellow"/>
              </w:rPr>
            </w:pPr>
            <w:r>
              <w:rPr>
                <w:szCs w:val="21"/>
              </w:rPr>
              <w:t>3</w:t>
            </w:r>
          </w:p>
        </w:tc>
        <w:tc>
          <w:tcPr>
            <w:tcW w:w="670" w:type="dxa"/>
            <w:vAlign w:val="center"/>
          </w:tcPr>
          <w:p w14:paraId="6ED0232A">
            <w:pPr>
              <w:rPr>
                <w:rFonts w:ascii="宋体" w:hAnsi="宋体" w:cs="宋体"/>
                <w:szCs w:val="21"/>
              </w:rPr>
            </w:pPr>
          </w:p>
        </w:tc>
      </w:tr>
      <w:tr w14:paraId="7DEA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0" w:type="dxa"/>
            <w:vAlign w:val="center"/>
          </w:tcPr>
          <w:p w14:paraId="735381AA">
            <w:pPr>
              <w:tabs>
                <w:tab w:val="left" w:pos="7395"/>
              </w:tabs>
              <w:jc w:val="center"/>
              <w:rPr>
                <w:szCs w:val="21"/>
              </w:rPr>
            </w:pPr>
            <w:r>
              <w:rPr>
                <w:rFonts w:hint="eastAsia"/>
                <w:szCs w:val="21"/>
              </w:rPr>
              <w:t>总分</w:t>
            </w:r>
          </w:p>
        </w:tc>
        <w:tc>
          <w:tcPr>
            <w:tcW w:w="6382" w:type="dxa"/>
            <w:vAlign w:val="center"/>
          </w:tcPr>
          <w:p w14:paraId="0DD51A54">
            <w:pPr>
              <w:tabs>
                <w:tab w:val="left" w:pos="7395"/>
              </w:tabs>
              <w:jc w:val="left"/>
              <w:rPr>
                <w:szCs w:val="21"/>
              </w:rPr>
            </w:pPr>
          </w:p>
        </w:tc>
        <w:tc>
          <w:tcPr>
            <w:tcW w:w="818" w:type="dxa"/>
            <w:vAlign w:val="center"/>
          </w:tcPr>
          <w:p w14:paraId="7CE7A380">
            <w:pPr>
              <w:tabs>
                <w:tab w:val="left" w:pos="7395"/>
              </w:tabs>
              <w:jc w:val="center"/>
              <w:rPr>
                <w:szCs w:val="21"/>
              </w:rPr>
            </w:pPr>
            <w:r>
              <w:rPr>
                <w:rFonts w:hint="eastAsia"/>
                <w:szCs w:val="21"/>
              </w:rPr>
              <w:t>100</w:t>
            </w:r>
          </w:p>
        </w:tc>
        <w:tc>
          <w:tcPr>
            <w:tcW w:w="670" w:type="dxa"/>
            <w:vAlign w:val="center"/>
          </w:tcPr>
          <w:p w14:paraId="3D02F68A">
            <w:pPr>
              <w:rPr>
                <w:rFonts w:ascii="宋体" w:hAnsi="宋体" w:cs="宋体"/>
                <w:szCs w:val="21"/>
              </w:rPr>
            </w:pPr>
          </w:p>
        </w:tc>
      </w:tr>
    </w:tbl>
    <w:p w14:paraId="659D7C42">
      <w:pPr>
        <w:spacing w:line="480" w:lineRule="auto"/>
        <w:rPr>
          <w:rFonts w:ascii="宋体" w:hAnsi="宋体"/>
          <w:bCs/>
          <w:sz w:val="24"/>
        </w:rPr>
      </w:pPr>
    </w:p>
    <w:p w14:paraId="3CCF38A4">
      <w:pPr>
        <w:spacing w:line="480" w:lineRule="auto"/>
        <w:rPr>
          <w:rFonts w:ascii="宋体" w:hAnsi="宋体"/>
          <w:bCs/>
          <w:sz w:val="24"/>
        </w:rPr>
      </w:pPr>
    </w:p>
    <w:p w14:paraId="12C5929B">
      <w:pPr>
        <w:spacing w:line="480" w:lineRule="auto"/>
        <w:rPr>
          <w:rFonts w:ascii="宋体" w:hAnsi="宋体"/>
          <w:bCs/>
          <w:sz w:val="24"/>
        </w:rPr>
      </w:pPr>
    </w:p>
    <w:p w14:paraId="20CEB676">
      <w:pPr>
        <w:spacing w:line="480" w:lineRule="auto"/>
        <w:rPr>
          <w:rFonts w:ascii="黑体" w:eastAsia="黑体"/>
          <w:bCs/>
          <w:sz w:val="28"/>
          <w:szCs w:val="28"/>
        </w:rPr>
      </w:pPr>
      <w:r>
        <w:rPr>
          <w:rFonts w:hint="eastAsia" w:ascii="宋体" w:hAnsi="宋体"/>
          <w:bCs/>
          <w:sz w:val="24"/>
        </w:rPr>
        <w:t>附件1：</w:t>
      </w:r>
    </w:p>
    <w:p w14:paraId="07248234">
      <w:pPr>
        <w:spacing w:line="480" w:lineRule="auto"/>
        <w:ind w:left="3640"/>
        <w:rPr>
          <w:rFonts w:ascii="宋体" w:hAnsi="宋体"/>
          <w:b/>
          <w:bCs/>
          <w:sz w:val="44"/>
          <w:szCs w:val="44"/>
        </w:rPr>
      </w:pPr>
      <w:r>
        <w:rPr>
          <w:rFonts w:hint="eastAsia" w:ascii="宋体" w:hAnsi="宋体"/>
          <w:b/>
          <w:bCs/>
          <w:sz w:val="44"/>
          <w:szCs w:val="44"/>
        </w:rPr>
        <w:t>投 标 函</w:t>
      </w:r>
    </w:p>
    <w:p w14:paraId="1708E455">
      <w:pPr>
        <w:rPr>
          <w:rFonts w:ascii="宋体" w:hAnsi="宋体"/>
          <w:bCs/>
          <w:sz w:val="24"/>
        </w:rPr>
      </w:pPr>
    </w:p>
    <w:p w14:paraId="24DF4908">
      <w:pPr>
        <w:spacing w:line="360" w:lineRule="auto"/>
        <w:rPr>
          <w:rFonts w:ascii="宋体" w:hAnsi="宋体"/>
          <w:bCs/>
          <w:sz w:val="24"/>
        </w:rPr>
      </w:pPr>
      <w:r>
        <w:rPr>
          <w:rFonts w:hint="eastAsia" w:ascii="宋体" w:hAnsi="宋体"/>
          <w:bCs/>
          <w:sz w:val="24"/>
        </w:rPr>
        <w:t>东南大学无锡校区：</w:t>
      </w:r>
    </w:p>
    <w:p w14:paraId="054CCDF4">
      <w:pPr>
        <w:tabs>
          <w:tab w:val="left" w:pos="420"/>
          <w:tab w:val="left" w:pos="1155"/>
        </w:tabs>
        <w:spacing w:line="360" w:lineRule="auto"/>
        <w:ind w:firstLine="480" w:firstLineChars="200"/>
        <w:rPr>
          <w:rFonts w:ascii="宋体" w:hAnsi="宋体"/>
          <w:bCs/>
          <w:sz w:val="24"/>
        </w:rPr>
      </w:pPr>
      <w:r>
        <w:rPr>
          <w:rFonts w:hint="eastAsia" w:ascii="宋体" w:hAnsi="宋体"/>
          <w:bCs/>
          <w:sz w:val="24"/>
        </w:rPr>
        <w:t xml:space="preserve">我方收到 </w:t>
      </w:r>
      <w:r>
        <w:rPr>
          <w:rFonts w:hint="eastAsia" w:ascii="宋体" w:hAnsi="宋体"/>
          <w:bCs/>
          <w:sz w:val="24"/>
          <w:u w:val="single"/>
        </w:rPr>
        <w:t xml:space="preserve">                         </w:t>
      </w:r>
      <w:r>
        <w:rPr>
          <w:rFonts w:hint="eastAsia" w:ascii="宋体" w:hAnsi="宋体"/>
          <w:bCs/>
          <w:sz w:val="24"/>
        </w:rPr>
        <w:t>工程询价文件，经仔细阅读和研究，已完全了解询价文件的所有条款和要求，决定参加此次工程项目的投标，同时作出以下承诺：</w:t>
      </w:r>
    </w:p>
    <w:p w14:paraId="72A66E7E">
      <w:pPr>
        <w:tabs>
          <w:tab w:val="left" w:pos="315"/>
          <w:tab w:val="left" w:pos="1155"/>
        </w:tabs>
        <w:spacing w:line="360" w:lineRule="auto"/>
        <w:ind w:firstLine="480" w:firstLineChars="200"/>
        <w:rPr>
          <w:rFonts w:ascii="宋体" w:hAnsi="宋体"/>
          <w:bCs/>
          <w:sz w:val="24"/>
        </w:rPr>
      </w:pPr>
      <w:r>
        <w:rPr>
          <w:rFonts w:hint="eastAsia" w:ascii="宋体" w:hAnsi="宋体"/>
          <w:bCs/>
          <w:sz w:val="24"/>
        </w:rPr>
        <w:t>1、我方愿意接受询价文件的全部条款和要求,认可并遵守询价文件的所有规定，按询价文件要求提供全部文件、资料</w:t>
      </w:r>
      <w:r>
        <w:rPr>
          <w:rFonts w:hint="eastAsia" w:ascii="宋体"/>
          <w:bCs/>
        </w:rPr>
        <w:t>，</w:t>
      </w:r>
      <w:r>
        <w:rPr>
          <w:rFonts w:hint="eastAsia" w:ascii="宋体" w:hAnsi="宋体"/>
          <w:bCs/>
          <w:sz w:val="24"/>
        </w:rPr>
        <w:t>放弃对询价文件提出质疑的权利；</w:t>
      </w:r>
    </w:p>
    <w:p w14:paraId="0B02844C">
      <w:pPr>
        <w:spacing w:line="360" w:lineRule="auto"/>
        <w:ind w:firstLine="480" w:firstLineChars="200"/>
        <w:rPr>
          <w:rFonts w:ascii="宋体" w:hAnsi="宋体"/>
          <w:bCs/>
          <w:sz w:val="24"/>
        </w:rPr>
      </w:pPr>
      <w:r>
        <w:rPr>
          <w:rFonts w:hint="eastAsia" w:ascii="宋体" w:hAnsi="宋体"/>
          <w:bCs/>
          <w:sz w:val="24"/>
        </w:rPr>
        <w:t>2、我方认为你方有权决定供应商或否决全部投标，并理解最低报价只是中标的重要条件，贵方没有义务必须接受最低报价的投标；</w:t>
      </w:r>
    </w:p>
    <w:p w14:paraId="2155BE85">
      <w:pPr>
        <w:spacing w:line="360" w:lineRule="auto"/>
        <w:ind w:firstLine="480" w:firstLineChars="200"/>
        <w:rPr>
          <w:rFonts w:ascii="宋体" w:hAnsi="宋体"/>
          <w:bCs/>
          <w:sz w:val="24"/>
        </w:rPr>
      </w:pPr>
      <w:r>
        <w:rPr>
          <w:rFonts w:hint="eastAsia" w:ascii="宋体" w:hAnsi="宋体"/>
          <w:bCs/>
          <w:sz w:val="24"/>
        </w:rPr>
        <w:t>3、如果我方中标，我们保证将履行询价文件中规定的每一项要求，按期、按质完成工程施工任务；</w:t>
      </w:r>
    </w:p>
    <w:p w14:paraId="70799C18">
      <w:pPr>
        <w:spacing w:line="360" w:lineRule="auto"/>
        <w:ind w:firstLine="480" w:firstLineChars="200"/>
        <w:rPr>
          <w:rFonts w:ascii="宋体" w:hAnsi="宋体"/>
          <w:bCs/>
          <w:sz w:val="24"/>
        </w:rPr>
      </w:pPr>
      <w:r>
        <w:rPr>
          <w:rFonts w:hint="eastAsia" w:ascii="宋体" w:hAnsi="宋体"/>
          <w:bCs/>
          <w:sz w:val="24"/>
        </w:rPr>
        <w:t xml:space="preserve">4、在合同履行过程中，我方如无不可抗力，又未履行询价文件、响应文件和合同条款的，一经查实，我方愿意赔偿招标人由此而造成的一切损失； </w:t>
      </w:r>
    </w:p>
    <w:p w14:paraId="258A01A4">
      <w:pPr>
        <w:spacing w:line="360" w:lineRule="auto"/>
        <w:ind w:firstLine="480" w:firstLineChars="200"/>
        <w:rPr>
          <w:sz w:val="24"/>
        </w:rPr>
      </w:pPr>
      <w:r>
        <w:rPr>
          <w:rFonts w:hint="eastAsia" w:ascii="宋体" w:hAnsi="宋体"/>
          <w:bCs/>
          <w:sz w:val="24"/>
        </w:rPr>
        <w:t>5、</w:t>
      </w:r>
      <w:r>
        <w:rPr>
          <w:rFonts w:hint="eastAsia"/>
          <w:sz w:val="24"/>
        </w:rPr>
        <w:t>与本次招投标有关的事宜请按以下信息联系：</w:t>
      </w:r>
    </w:p>
    <w:p w14:paraId="586F5BEB">
      <w:pPr>
        <w:spacing w:line="360" w:lineRule="auto"/>
        <w:ind w:firstLine="480" w:firstLineChars="200"/>
        <w:rPr>
          <w:sz w:val="24"/>
        </w:rPr>
      </w:pPr>
    </w:p>
    <w:p w14:paraId="3E0D8EDD">
      <w:pPr>
        <w:spacing w:line="360" w:lineRule="auto"/>
        <w:ind w:firstLine="480" w:firstLineChars="200"/>
        <w:rPr>
          <w:sz w:val="24"/>
        </w:rPr>
      </w:pPr>
      <w:r>
        <w:rPr>
          <w:rFonts w:hint="eastAsia"/>
          <w:sz w:val="24"/>
        </w:rPr>
        <w:t>地</w:t>
      </w:r>
      <w:r>
        <w:rPr>
          <w:sz w:val="24"/>
        </w:rPr>
        <w:t xml:space="preserve">    </w:t>
      </w:r>
      <w:r>
        <w:rPr>
          <w:rFonts w:hint="eastAsia"/>
          <w:sz w:val="24"/>
        </w:rPr>
        <w:t>址：</w:t>
      </w:r>
      <w:r>
        <w:rPr>
          <w:sz w:val="24"/>
          <w:u w:val="single"/>
        </w:rPr>
        <w:t xml:space="preserve">                   </w:t>
      </w:r>
      <w:r>
        <w:rPr>
          <w:sz w:val="24"/>
        </w:rPr>
        <w:t xml:space="preserve">    </w:t>
      </w:r>
      <w:r>
        <w:rPr>
          <w:rFonts w:hint="eastAsia"/>
          <w:sz w:val="24"/>
        </w:rPr>
        <w:t>邮政编码：</w:t>
      </w:r>
      <w:r>
        <w:rPr>
          <w:sz w:val="24"/>
          <w:u w:val="single"/>
        </w:rPr>
        <w:t xml:space="preserve">                      </w:t>
      </w:r>
    </w:p>
    <w:p w14:paraId="179F7928">
      <w:pPr>
        <w:spacing w:line="360" w:lineRule="auto"/>
        <w:ind w:firstLine="480" w:firstLineChars="200"/>
        <w:rPr>
          <w:sz w:val="24"/>
          <w:u w:val="single"/>
        </w:rPr>
      </w:pPr>
      <w:r>
        <w:rPr>
          <w:rFonts w:hint="eastAsia"/>
          <w:sz w:val="24"/>
        </w:rPr>
        <w:t>电</w:t>
      </w:r>
      <w:r>
        <w:rPr>
          <w:sz w:val="24"/>
        </w:rPr>
        <w:t xml:space="preserve">    </w:t>
      </w:r>
      <w:r>
        <w:rPr>
          <w:rFonts w:hint="eastAsia"/>
          <w:sz w:val="24"/>
        </w:rPr>
        <w:t>话：</w:t>
      </w:r>
      <w:r>
        <w:rPr>
          <w:sz w:val="24"/>
          <w:u w:val="single"/>
        </w:rPr>
        <w:t xml:space="preserve">                   </w:t>
      </w:r>
      <w:r>
        <w:rPr>
          <w:sz w:val="24"/>
        </w:rPr>
        <w:t xml:space="preserve">    </w:t>
      </w:r>
      <w:r>
        <w:rPr>
          <w:rFonts w:hint="eastAsia"/>
          <w:sz w:val="24"/>
        </w:rPr>
        <w:t>传</w:t>
      </w:r>
      <w:r>
        <w:rPr>
          <w:sz w:val="24"/>
        </w:rPr>
        <w:t xml:space="preserve">    </w:t>
      </w:r>
      <w:r>
        <w:rPr>
          <w:rFonts w:hint="eastAsia"/>
          <w:sz w:val="24"/>
        </w:rPr>
        <w:t>真：</w:t>
      </w:r>
      <w:r>
        <w:rPr>
          <w:sz w:val="24"/>
          <w:u w:val="single"/>
        </w:rPr>
        <w:t xml:space="preserve">                      </w:t>
      </w:r>
    </w:p>
    <w:p w14:paraId="7B701C26">
      <w:pPr>
        <w:spacing w:line="360" w:lineRule="auto"/>
        <w:ind w:firstLine="480" w:firstLineChars="200"/>
        <w:rPr>
          <w:sz w:val="24"/>
        </w:rPr>
      </w:pPr>
      <w:r>
        <w:rPr>
          <w:sz w:val="24"/>
        </w:rPr>
        <w:t>Email</w:t>
      </w:r>
      <w:r>
        <w:rPr>
          <w:rFonts w:hint="eastAsia"/>
          <w:sz w:val="24"/>
        </w:rPr>
        <w:t>：</w:t>
      </w:r>
      <w:r>
        <w:rPr>
          <w:sz w:val="24"/>
        </w:rPr>
        <w:t xml:space="preserve"> </w:t>
      </w:r>
      <w:r>
        <w:rPr>
          <w:sz w:val="24"/>
          <w:u w:val="single"/>
        </w:rPr>
        <w:t xml:space="preserve">                       </w:t>
      </w:r>
    </w:p>
    <w:p w14:paraId="7955D4FE">
      <w:pPr>
        <w:spacing w:line="360" w:lineRule="auto"/>
        <w:ind w:firstLine="480" w:firstLineChars="200"/>
        <w:rPr>
          <w:sz w:val="24"/>
        </w:rPr>
      </w:pPr>
    </w:p>
    <w:p w14:paraId="2F10FCA0">
      <w:pPr>
        <w:spacing w:line="360" w:lineRule="auto"/>
        <w:ind w:firstLine="480" w:firstLineChars="200"/>
        <w:rPr>
          <w:sz w:val="24"/>
        </w:rPr>
      </w:pPr>
      <w:r>
        <w:rPr>
          <w:rFonts w:hint="eastAsia"/>
          <w:sz w:val="24"/>
        </w:rPr>
        <w:t>供应商名称：</w:t>
      </w:r>
      <w:r>
        <w:rPr>
          <w:rFonts w:hint="eastAsia"/>
          <w:sz w:val="24"/>
          <w:u w:val="single"/>
        </w:rPr>
        <w:t xml:space="preserve">                              </w:t>
      </w:r>
      <w:r>
        <w:rPr>
          <w:rFonts w:hint="eastAsia"/>
          <w:sz w:val="24"/>
        </w:rPr>
        <w:t xml:space="preserve">（公章）  </w:t>
      </w:r>
    </w:p>
    <w:p w14:paraId="039F115B">
      <w:pPr>
        <w:spacing w:line="480" w:lineRule="auto"/>
        <w:ind w:firstLine="480" w:firstLineChars="200"/>
        <w:rPr>
          <w:sz w:val="24"/>
          <w:u w:val="single"/>
        </w:rPr>
      </w:pPr>
      <w:r>
        <w:rPr>
          <w:rFonts w:hint="eastAsia" w:ascii="宋体" w:hAnsi="宋体"/>
          <w:bCs/>
          <w:sz w:val="24"/>
        </w:rPr>
        <w:t>法定代表人或</w:t>
      </w:r>
      <w:r>
        <w:rPr>
          <w:rFonts w:hint="eastAsia"/>
          <w:sz w:val="24"/>
        </w:rPr>
        <w:t>授权代表（签字或盖章）：</w:t>
      </w:r>
      <w:r>
        <w:rPr>
          <w:sz w:val="24"/>
          <w:u w:val="single"/>
        </w:rPr>
        <w:t xml:space="preserve">                           </w:t>
      </w:r>
    </w:p>
    <w:p w14:paraId="40AE53B7">
      <w:pPr>
        <w:spacing w:line="480" w:lineRule="auto"/>
        <w:ind w:firstLine="360" w:firstLineChars="150"/>
        <w:rPr>
          <w:sz w:val="24"/>
        </w:rPr>
      </w:pPr>
      <w:r>
        <w:rPr>
          <w:sz w:val="24"/>
        </w:rPr>
        <w:t xml:space="preserve"> </w:t>
      </w:r>
      <w:r>
        <w:rPr>
          <w:rFonts w:hint="eastAsia"/>
          <w:sz w:val="24"/>
        </w:rPr>
        <w:t>日   期：</w:t>
      </w:r>
      <w:r>
        <w:rPr>
          <w:sz w:val="24"/>
          <w:u w:val="single"/>
        </w:rPr>
        <w:t xml:space="preserve">                                   </w:t>
      </w:r>
    </w:p>
    <w:p w14:paraId="7ED88888">
      <w:pPr>
        <w:rPr>
          <w:rFonts w:ascii="宋体" w:hAnsi="宋体"/>
          <w:bCs/>
          <w:sz w:val="24"/>
        </w:rPr>
      </w:pPr>
    </w:p>
    <w:p w14:paraId="649944D9">
      <w:pPr>
        <w:rPr>
          <w:rFonts w:ascii="宋体" w:hAnsi="宋体"/>
          <w:bCs/>
          <w:sz w:val="24"/>
        </w:rPr>
      </w:pPr>
    </w:p>
    <w:p w14:paraId="7B6105E5">
      <w:pPr>
        <w:rPr>
          <w:rFonts w:ascii="宋体" w:hAnsi="宋体"/>
          <w:bCs/>
          <w:sz w:val="24"/>
        </w:rPr>
      </w:pPr>
    </w:p>
    <w:p w14:paraId="6CF6ADEF">
      <w:pPr>
        <w:widowControl/>
        <w:jc w:val="left"/>
        <w:rPr>
          <w:rFonts w:ascii="宋体" w:hAnsi="宋体"/>
          <w:bCs/>
          <w:sz w:val="24"/>
        </w:rPr>
      </w:pPr>
      <w:r>
        <w:rPr>
          <w:rFonts w:ascii="宋体" w:hAnsi="宋体"/>
          <w:bCs/>
          <w:sz w:val="24"/>
        </w:rPr>
        <w:br w:type="page"/>
      </w:r>
    </w:p>
    <w:p w14:paraId="4C1657F3">
      <w:pPr>
        <w:rPr>
          <w:rFonts w:ascii="黑体" w:eastAsia="黑体"/>
          <w:bCs/>
          <w:sz w:val="32"/>
        </w:rPr>
      </w:pPr>
      <w:r>
        <w:rPr>
          <w:rFonts w:hint="eastAsia" w:ascii="宋体" w:hAnsi="宋体"/>
          <w:bCs/>
          <w:sz w:val="24"/>
        </w:rPr>
        <w:t>附件2：</w:t>
      </w:r>
    </w:p>
    <w:p w14:paraId="2E0C3059">
      <w:pPr>
        <w:spacing w:line="360" w:lineRule="auto"/>
        <w:ind w:left="1289" w:leftChars="614" w:firstLine="1626" w:firstLineChars="450"/>
        <w:rPr>
          <w:b/>
          <w:sz w:val="36"/>
          <w:szCs w:val="36"/>
        </w:rPr>
      </w:pPr>
      <w:r>
        <w:rPr>
          <w:rFonts w:hint="eastAsia"/>
          <w:b/>
          <w:sz w:val="36"/>
          <w:szCs w:val="36"/>
        </w:rPr>
        <w:t>开 标 一 览 表</w:t>
      </w:r>
    </w:p>
    <w:p w14:paraId="4D21DDB4">
      <w:pPr>
        <w:rPr>
          <w:rFonts w:ascii="宋体" w:hAnsi="宋体"/>
          <w:bCs/>
          <w:sz w:val="24"/>
        </w:rPr>
      </w:pPr>
    </w:p>
    <w:p w14:paraId="732FB9C8">
      <w:pPr>
        <w:ind w:firstLine="360" w:firstLineChars="150"/>
        <w:rPr>
          <w:rFonts w:ascii="宋体" w:hAnsi="宋体"/>
          <w:bCs/>
          <w:sz w:val="24"/>
        </w:rPr>
      </w:pPr>
      <w:r>
        <w:rPr>
          <w:rFonts w:hint="eastAsia" w:ascii="宋体" w:hAnsi="宋体"/>
          <w:bCs/>
          <w:sz w:val="24"/>
        </w:rPr>
        <w:t>招标项目名称：</w:t>
      </w:r>
    </w:p>
    <w:p w14:paraId="1C991B25">
      <w:pPr>
        <w:spacing w:line="360" w:lineRule="auto"/>
        <w:ind w:firstLine="360" w:firstLineChars="150"/>
        <w:rPr>
          <w:rFonts w:ascii="宋体" w:hAnsi="宋体"/>
          <w:b/>
          <w:bCs/>
          <w:sz w:val="24"/>
        </w:rPr>
      </w:pPr>
      <w:r>
        <w:rPr>
          <w:rFonts w:hint="eastAsia" w:ascii="宋体" w:hAnsi="宋体"/>
          <w:bCs/>
          <w:sz w:val="24"/>
        </w:rPr>
        <w:t>招标项目编号：</w:t>
      </w:r>
    </w:p>
    <w:tbl>
      <w:tblPr>
        <w:tblStyle w:val="8"/>
        <w:tblW w:w="8153"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5357"/>
      </w:tblGrid>
      <w:tr w14:paraId="24BA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96" w:type="dxa"/>
            <w:vAlign w:val="center"/>
          </w:tcPr>
          <w:p w14:paraId="1FDC3270">
            <w:pPr>
              <w:autoSpaceDE w:val="0"/>
              <w:autoSpaceDN w:val="0"/>
              <w:adjustRightInd w:val="0"/>
              <w:jc w:val="center"/>
              <w:rPr>
                <w:rFonts w:ascii="宋体" w:hAnsi="宋体"/>
                <w:bCs/>
                <w:sz w:val="24"/>
              </w:rPr>
            </w:pPr>
            <w:r>
              <w:rPr>
                <w:rFonts w:hint="eastAsia" w:ascii="宋体" w:hAnsi="宋体"/>
                <w:bCs/>
                <w:sz w:val="24"/>
              </w:rPr>
              <w:t>报价内容</w:t>
            </w:r>
          </w:p>
        </w:tc>
        <w:tc>
          <w:tcPr>
            <w:tcW w:w="5357" w:type="dxa"/>
            <w:vAlign w:val="center"/>
          </w:tcPr>
          <w:p w14:paraId="1B9FA17A">
            <w:pPr>
              <w:autoSpaceDE w:val="0"/>
              <w:autoSpaceDN w:val="0"/>
              <w:adjustRightInd w:val="0"/>
              <w:jc w:val="center"/>
              <w:rPr>
                <w:rFonts w:ascii="宋体" w:hAnsi="宋体"/>
                <w:bCs/>
                <w:sz w:val="24"/>
              </w:rPr>
            </w:pPr>
            <w:r>
              <w:rPr>
                <w:rFonts w:hint="eastAsia" w:ascii="宋体" w:hAnsi="宋体"/>
                <w:bCs/>
                <w:sz w:val="24"/>
              </w:rPr>
              <w:t>投标总报价 (人民币小写)</w:t>
            </w:r>
          </w:p>
        </w:tc>
      </w:tr>
      <w:tr w14:paraId="5E85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trPr>
        <w:tc>
          <w:tcPr>
            <w:tcW w:w="2796" w:type="dxa"/>
            <w:tcBorders>
              <w:bottom w:val="single" w:color="auto" w:sz="4" w:space="0"/>
            </w:tcBorders>
            <w:vAlign w:val="center"/>
          </w:tcPr>
          <w:p w14:paraId="6B34C0D8">
            <w:pPr>
              <w:pStyle w:val="12"/>
              <w:spacing w:line="400" w:lineRule="exact"/>
              <w:jc w:val="center"/>
              <w:rPr>
                <w:rFonts w:hAnsi="宋体"/>
                <w:bCs/>
                <w:szCs w:val="24"/>
              </w:rPr>
            </w:pPr>
            <w:r>
              <w:rPr>
                <w:rFonts w:hint="eastAsia" w:hAnsi="宋体"/>
                <w:bCs/>
                <w:szCs w:val="24"/>
              </w:rPr>
              <w:t xml:space="preserve">                工程</w:t>
            </w:r>
            <w:r>
              <w:rPr>
                <w:rFonts w:hint="eastAsia"/>
              </w:rPr>
              <w:t>　</w:t>
            </w:r>
          </w:p>
        </w:tc>
        <w:tc>
          <w:tcPr>
            <w:tcW w:w="5357" w:type="dxa"/>
            <w:tcBorders>
              <w:bottom w:val="single" w:color="auto" w:sz="4" w:space="0"/>
            </w:tcBorders>
            <w:vAlign w:val="center"/>
          </w:tcPr>
          <w:p w14:paraId="53B9E087">
            <w:pPr>
              <w:jc w:val="center"/>
              <w:rPr>
                <w:rFonts w:ascii="宋体" w:hAnsi="宋体"/>
                <w:b/>
                <w:sz w:val="24"/>
              </w:rPr>
            </w:pPr>
          </w:p>
        </w:tc>
      </w:tr>
      <w:tr w14:paraId="0F99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8153" w:type="dxa"/>
            <w:gridSpan w:val="2"/>
            <w:tcBorders>
              <w:bottom w:val="single" w:color="auto" w:sz="4" w:space="0"/>
            </w:tcBorders>
            <w:vAlign w:val="center"/>
          </w:tcPr>
          <w:p w14:paraId="11FD4919">
            <w:pPr>
              <w:rPr>
                <w:rFonts w:ascii="宋体" w:hAnsi="宋体"/>
                <w:bCs/>
                <w:sz w:val="24"/>
              </w:rPr>
            </w:pPr>
            <w:r>
              <w:rPr>
                <w:rFonts w:hint="eastAsia" w:ascii="宋体" w:hAnsi="宋体"/>
                <w:bCs/>
                <w:kern w:val="0"/>
                <w:sz w:val="24"/>
              </w:rPr>
              <w:t>投标总报价：人民币大写：</w:t>
            </w:r>
            <w:r>
              <w:rPr>
                <w:rFonts w:ascii="宋体" w:hAnsi="宋体"/>
                <w:bCs/>
                <w:kern w:val="0"/>
                <w:sz w:val="24"/>
                <w:u w:val="single"/>
              </w:rPr>
              <w:t xml:space="preserve">              </w:t>
            </w:r>
            <w:r>
              <w:rPr>
                <w:rFonts w:hint="eastAsia" w:ascii="宋体" w:hAnsi="宋体"/>
                <w:bCs/>
                <w:kern w:val="0"/>
                <w:sz w:val="24"/>
                <w:u w:val="single"/>
              </w:rPr>
              <w:t xml:space="preserve">         　　       </w:t>
            </w:r>
            <w:r>
              <w:rPr>
                <w:rFonts w:hint="eastAsia" w:ascii="宋体" w:hAnsi="宋体"/>
                <w:bCs/>
                <w:kern w:val="0"/>
                <w:sz w:val="24"/>
              </w:rPr>
              <w:t>元。</w:t>
            </w:r>
          </w:p>
        </w:tc>
      </w:tr>
      <w:tr w14:paraId="52F2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8153" w:type="dxa"/>
            <w:gridSpan w:val="2"/>
            <w:tcBorders>
              <w:bottom w:val="single" w:color="auto" w:sz="4" w:space="0"/>
            </w:tcBorders>
            <w:vAlign w:val="center"/>
          </w:tcPr>
          <w:p w14:paraId="31D35C64">
            <w:pPr>
              <w:spacing w:line="360" w:lineRule="auto"/>
              <w:ind w:firstLine="480" w:firstLineChars="200"/>
              <w:rPr>
                <w:rFonts w:ascii="宋体" w:hAnsi="宋体"/>
                <w:sz w:val="24"/>
              </w:rPr>
            </w:pPr>
          </w:p>
          <w:p w14:paraId="4F119C5E">
            <w:pPr>
              <w:spacing w:line="360" w:lineRule="auto"/>
              <w:ind w:firstLine="480" w:firstLineChars="200"/>
              <w:rPr>
                <w:rFonts w:ascii="宋体" w:hAnsi="宋体"/>
                <w:sz w:val="24"/>
              </w:rPr>
            </w:pPr>
            <w:r>
              <w:rPr>
                <w:rFonts w:hint="eastAsia" w:ascii="宋体" w:hAnsi="宋体"/>
                <w:sz w:val="24"/>
              </w:rPr>
              <w:t>质量保修期：　　 　年。</w:t>
            </w:r>
          </w:p>
          <w:p w14:paraId="6E27BA00">
            <w:pPr>
              <w:spacing w:line="360" w:lineRule="auto"/>
              <w:ind w:firstLine="480" w:firstLineChars="200"/>
              <w:rPr>
                <w:sz w:val="24"/>
              </w:rPr>
            </w:pPr>
            <w:r>
              <w:rPr>
                <w:rFonts w:hint="eastAsia" w:ascii="宋体" w:hAnsi="宋体"/>
                <w:sz w:val="24"/>
              </w:rPr>
              <w:t>施工工期：合同生效后    天内完成工程施工和验收</w:t>
            </w:r>
            <w:r>
              <w:rPr>
                <w:rFonts w:hint="eastAsia"/>
                <w:sz w:val="24"/>
              </w:rPr>
              <w:t>。</w:t>
            </w:r>
          </w:p>
          <w:p w14:paraId="2F4E32A4">
            <w:pPr>
              <w:spacing w:line="360" w:lineRule="auto"/>
              <w:ind w:firstLine="480" w:firstLineChars="200"/>
              <w:rPr>
                <w:sz w:val="24"/>
              </w:rPr>
            </w:pPr>
            <w:r>
              <w:rPr>
                <w:rFonts w:hint="eastAsia" w:ascii="宋体" w:hAnsi="宋体"/>
                <w:sz w:val="24"/>
              </w:rPr>
              <w:t>工期违约金：</w:t>
            </w:r>
          </w:p>
          <w:p w14:paraId="0B2F627B">
            <w:pPr>
              <w:spacing w:line="360" w:lineRule="auto"/>
              <w:ind w:firstLine="480" w:firstLineChars="200"/>
              <w:rPr>
                <w:rFonts w:ascii="宋体" w:hAnsi="宋体"/>
                <w:sz w:val="24"/>
              </w:rPr>
            </w:pPr>
            <w:r>
              <w:rPr>
                <w:rFonts w:hint="eastAsia" w:ascii="宋体" w:hAnsi="宋体"/>
                <w:sz w:val="24"/>
              </w:rPr>
              <w:t>质量违约金：</w:t>
            </w:r>
          </w:p>
          <w:p w14:paraId="53A507BD">
            <w:pPr>
              <w:spacing w:line="360" w:lineRule="auto"/>
              <w:ind w:firstLine="480" w:firstLineChars="200"/>
              <w:rPr>
                <w:sz w:val="24"/>
              </w:rPr>
            </w:pPr>
            <w:r>
              <w:rPr>
                <w:rFonts w:hint="eastAsia" w:ascii="宋体" w:hAnsi="宋体"/>
                <w:sz w:val="24"/>
              </w:rPr>
              <w:t>付款方式承诺：</w:t>
            </w:r>
          </w:p>
          <w:p w14:paraId="100B3373">
            <w:pPr>
              <w:rPr>
                <w:rFonts w:ascii="宋体" w:hAnsi="宋体"/>
                <w:bCs/>
                <w:kern w:val="0"/>
                <w:sz w:val="24"/>
              </w:rPr>
            </w:pPr>
          </w:p>
        </w:tc>
      </w:tr>
    </w:tbl>
    <w:p w14:paraId="6066BE65">
      <w:pPr>
        <w:spacing w:line="360" w:lineRule="auto"/>
        <w:rPr>
          <w:rFonts w:ascii="黑体" w:eastAsia="黑体"/>
          <w:bCs/>
          <w:sz w:val="24"/>
        </w:rPr>
      </w:pPr>
    </w:p>
    <w:p w14:paraId="43FB0DEE">
      <w:pPr>
        <w:spacing w:line="360" w:lineRule="auto"/>
        <w:rPr>
          <w:rFonts w:ascii="宋体" w:hAnsi="宋体"/>
          <w:bCs/>
          <w:sz w:val="24"/>
        </w:rPr>
      </w:pPr>
      <w:r>
        <w:rPr>
          <w:rFonts w:hint="eastAsia" w:ascii="宋体" w:hAnsi="宋体"/>
          <w:bCs/>
          <w:sz w:val="24"/>
        </w:rPr>
        <w:t xml:space="preserve">供应商名称（盖章）：                                </w:t>
      </w:r>
    </w:p>
    <w:p w14:paraId="67089F00">
      <w:pPr>
        <w:spacing w:line="360" w:lineRule="auto"/>
        <w:rPr>
          <w:rFonts w:ascii="宋体" w:hAnsi="宋体"/>
          <w:bCs/>
          <w:sz w:val="24"/>
        </w:rPr>
      </w:pPr>
      <w:r>
        <w:rPr>
          <w:rFonts w:hint="eastAsia" w:ascii="宋体" w:hAnsi="宋体"/>
          <w:bCs/>
          <w:sz w:val="24"/>
        </w:rPr>
        <w:t>法定代表人或授权代表（签字或盖章）：</w:t>
      </w:r>
    </w:p>
    <w:p w14:paraId="72A67C4A">
      <w:pPr>
        <w:spacing w:line="360" w:lineRule="auto"/>
        <w:rPr>
          <w:rFonts w:ascii="宋体" w:hAnsi="宋体"/>
          <w:bCs/>
          <w:sz w:val="24"/>
        </w:rPr>
      </w:pPr>
      <w:r>
        <w:rPr>
          <w:rFonts w:hint="eastAsia" w:ascii="宋体" w:hAnsi="宋体"/>
          <w:bCs/>
          <w:sz w:val="24"/>
        </w:rPr>
        <w:t>日期：</w:t>
      </w:r>
    </w:p>
    <w:p w14:paraId="7AC9CA4C">
      <w:pPr>
        <w:widowControl/>
        <w:jc w:val="left"/>
        <w:rPr>
          <w:rFonts w:ascii="宋体" w:hAnsi="宋体"/>
          <w:bCs/>
          <w:sz w:val="24"/>
        </w:rPr>
      </w:pPr>
      <w:r>
        <w:rPr>
          <w:rFonts w:ascii="宋体" w:hAnsi="宋体" w:cs="宋体"/>
          <w:sz w:val="28"/>
        </w:rPr>
        <w:br w:type="page"/>
      </w:r>
    </w:p>
    <w:p w14:paraId="0AEEA05A">
      <w:pPr>
        <w:tabs>
          <w:tab w:val="left" w:pos="5000"/>
        </w:tabs>
        <w:spacing w:line="380" w:lineRule="exact"/>
        <w:rPr>
          <w:rFonts w:ascii="宋体" w:hAnsi="宋体" w:cs="宋体"/>
          <w:color w:val="000000"/>
          <w:sz w:val="28"/>
        </w:rPr>
      </w:pPr>
      <w:r>
        <w:rPr>
          <w:rFonts w:hint="eastAsia" w:ascii="宋体" w:hAnsi="宋体"/>
          <w:bCs/>
          <w:color w:val="000000"/>
          <w:sz w:val="24"/>
        </w:rPr>
        <w:t>附件3：</w:t>
      </w:r>
    </w:p>
    <w:p w14:paraId="05FC9FBE">
      <w:pPr>
        <w:spacing w:line="300" w:lineRule="auto"/>
        <w:rPr>
          <w:rFonts w:ascii="宋体" w:hAnsi="宋体"/>
          <w:color w:val="000000"/>
          <w:sz w:val="32"/>
          <w:szCs w:val="32"/>
        </w:rPr>
      </w:pPr>
      <w:r>
        <w:rPr>
          <w:rFonts w:ascii="宋体" w:hAnsi="宋体"/>
          <w:color w:val="000000"/>
        </w:rPr>
        <mc:AlternateContent>
          <mc:Choice Requires="wps">
            <w:drawing>
              <wp:anchor distT="0" distB="0" distL="114300" distR="114300" simplePos="0" relativeHeight="251659264" behindDoc="0" locked="0" layoutInCell="1" allowOverlap="1">
                <wp:simplePos x="0" y="0"/>
                <wp:positionH relativeFrom="column">
                  <wp:posOffset>1270000</wp:posOffset>
                </wp:positionH>
                <wp:positionV relativeFrom="paragraph">
                  <wp:posOffset>381000</wp:posOffset>
                </wp:positionV>
                <wp:extent cx="2743200" cy="0"/>
                <wp:effectExtent l="0" t="4445" r="0" b="5080"/>
                <wp:wrapNone/>
                <wp:docPr id="3" name="直线 3"/>
                <wp:cNvGraphicFramePr/>
                <a:graphic xmlns:a="http://schemas.openxmlformats.org/drawingml/2006/main">
                  <a:graphicData uri="http://schemas.microsoft.com/office/word/2010/wordprocessingShape">
                    <wps:wsp>
                      <wps:cNvCnPr/>
                      <wps:spPr>
                        <a:xfrm>
                          <a:off x="0" y="0"/>
                          <a:ext cx="2743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100pt;margin-top:30pt;height:0pt;width:216pt;z-index:251659264;mso-width-relative:page;mso-height-relative:page;" filled="f" stroked="t" coordsize="21600,21600" o:gfxdata="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deEdrUAAAACQEAAA8AAAAA&#10;AAAAAQAgAAAAIgAAAGRycy9kb3ducmV2LnhtbFBLAQIUABQAAAAIAIdO4kBYIk2m3wEAAM8DAAAO&#10;AAAAAAAAAAEAIAAAACMBAABkcnMvZTJvRG9jLnhtbFBLBQYAAAAABgAGAFkBAAB0BQAAAAA=&#10;">
                <v:fill on="f" focussize="0,0"/>
                <v:stroke color="#000000" joinstyle="round"/>
                <v:imagedata o:title=""/>
                <o:lock v:ext="edit" aspectratio="f"/>
              </v:line>
            </w:pict>
          </mc:Fallback>
        </mc:AlternateContent>
      </w:r>
      <w:r>
        <w:rPr>
          <w:rFonts w:hint="eastAsia" w:ascii="宋体" w:hAnsi="宋体"/>
          <w:color w:val="000000"/>
          <w:sz w:val="28"/>
        </w:rPr>
        <w:t xml:space="preserve">             </w:t>
      </w:r>
      <w:r>
        <w:rPr>
          <w:rFonts w:hint="eastAsia" w:ascii="宋体" w:hAnsi="宋体"/>
          <w:color w:val="000000"/>
          <w:sz w:val="32"/>
          <w:szCs w:val="32"/>
        </w:rPr>
        <w:t xml:space="preserve">      {询价工程项目名称}   工程</w:t>
      </w:r>
    </w:p>
    <w:p w14:paraId="166DFC07">
      <w:pPr>
        <w:spacing w:line="300" w:lineRule="auto"/>
        <w:rPr>
          <w:rFonts w:ascii="宋体" w:hAnsi="宋体"/>
          <w:color w:val="000000"/>
          <w:sz w:val="28"/>
        </w:rPr>
      </w:pPr>
    </w:p>
    <w:p w14:paraId="72DCCFEA">
      <w:pPr>
        <w:spacing w:line="300" w:lineRule="auto"/>
        <w:jc w:val="center"/>
        <w:rPr>
          <w:rFonts w:ascii="黑体" w:hAnsi="宋体" w:eastAsia="黑体"/>
          <w:color w:val="000000"/>
          <w:sz w:val="44"/>
          <w:szCs w:val="44"/>
        </w:rPr>
      </w:pPr>
      <w:r>
        <w:rPr>
          <w:rFonts w:hint="eastAsia" w:ascii="黑体" w:hAnsi="宋体" w:eastAsia="黑体"/>
          <w:color w:val="000000"/>
          <w:sz w:val="44"/>
          <w:szCs w:val="44"/>
        </w:rPr>
        <w:t>工 程 量 清 单 报 价 表</w:t>
      </w:r>
    </w:p>
    <w:p w14:paraId="6013BE86">
      <w:pPr>
        <w:spacing w:line="300" w:lineRule="auto"/>
        <w:jc w:val="center"/>
        <w:rPr>
          <w:rFonts w:ascii="宋体" w:hAnsi="宋体"/>
          <w:color w:val="000000"/>
          <w:sz w:val="44"/>
          <w:szCs w:val="44"/>
        </w:rPr>
      </w:pPr>
    </w:p>
    <w:p w14:paraId="3E65346B">
      <w:pPr>
        <w:spacing w:line="300" w:lineRule="auto"/>
        <w:jc w:val="center"/>
        <w:rPr>
          <w:rFonts w:ascii="宋体" w:hAnsi="宋体"/>
          <w:color w:val="000000"/>
          <w:sz w:val="44"/>
          <w:szCs w:val="44"/>
        </w:rPr>
      </w:pPr>
    </w:p>
    <w:p w14:paraId="2E1B2B66">
      <w:pPr>
        <w:spacing w:line="540" w:lineRule="exact"/>
        <w:ind w:firstLine="720" w:firstLineChars="300"/>
        <w:rPr>
          <w:rFonts w:ascii="宋体" w:hAnsi="宋体"/>
          <w:color w:val="000000"/>
          <w:sz w:val="24"/>
        </w:rPr>
      </w:pPr>
      <w:r>
        <w:rPr>
          <w:rFonts w:ascii="宋体" w:hAnsi="宋体"/>
          <w:color w:val="000000"/>
          <w:sz w:val="24"/>
        </w:rPr>
        <mc:AlternateContent>
          <mc:Choice Requires="wps">
            <w:drawing>
              <wp:anchor distT="0" distB="0" distL="114300" distR="114300" simplePos="0" relativeHeight="251664384" behindDoc="0" locked="0" layoutInCell="0" allowOverlap="1">
                <wp:simplePos x="0" y="0"/>
                <wp:positionH relativeFrom="column">
                  <wp:posOffset>1714500</wp:posOffset>
                </wp:positionH>
                <wp:positionV relativeFrom="paragraph">
                  <wp:posOffset>320040</wp:posOffset>
                </wp:positionV>
                <wp:extent cx="2385695" cy="0"/>
                <wp:effectExtent l="0" t="5080" r="0" b="4445"/>
                <wp:wrapNone/>
                <wp:docPr id="7" name="任意多边形 4"/>
                <wp:cNvGraphicFramePr/>
                <a:graphic xmlns:a="http://schemas.openxmlformats.org/drawingml/2006/main">
                  <a:graphicData uri="http://schemas.microsoft.com/office/word/2010/wordprocessingShape">
                    <wps:wsp>
                      <wps:cNvSpPr/>
                      <wps:spPr>
                        <a:xfrm>
                          <a:off x="0" y="0"/>
                          <a:ext cx="2385695" cy="0"/>
                        </a:xfrm>
                        <a:custGeom>
                          <a:avLst/>
                          <a:gdLst/>
                          <a:ahLst/>
                          <a:cxnLst/>
                          <a:rect l="0" t="0" r="0" b="0"/>
                          <a:pathLst>
                            <a:path w="3757" h="1">
                              <a:moveTo>
                                <a:pt x="0" y="0"/>
                              </a:moveTo>
                              <a:lnTo>
                                <a:pt x="3757" y="0"/>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4" o:spid="_x0000_s1026" o:spt="100" style="position:absolute;left:0pt;margin-left:135pt;margin-top:25.2pt;height:0pt;width:187.85pt;z-index:251664384;mso-width-relative:page;mso-height-relative:page;" filled="f" stroked="t" coordsize="3757,1" o:allowincell="f" o:gfxdata="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6H9eHZAAAACQEAAA8AAAAAAAAAAQAgAAAAIgAAAGRycy9kb3ducmV2&#10;LnhtbFBLAQIUABQAAAAIAIdO4kBSr/txNAIAAKkEAAAOAAAAAAAAAAEAIAAAACgBAABkcnMvZTJv&#10;RG9jLnhtbFBLBQYAAAAABgAGAFkBAADOBQAAAAA=&#10;" path="m0,0l3757,0e">
                <v:fill on="f" focussize="0,0"/>
                <v:stroke color="#000000" joinstyle="round"/>
                <v:imagedata o:title=""/>
                <o:lock v:ext="edit" aspectratio="f"/>
              </v:shape>
            </w:pict>
          </mc:Fallback>
        </mc:AlternateContent>
      </w:r>
      <w:r>
        <w:rPr>
          <w:rFonts w:hint="eastAsia" w:ascii="宋体" w:hAnsi="宋体"/>
          <w:color w:val="000000"/>
          <w:sz w:val="24"/>
        </w:rPr>
        <w:t>建 设 单 位：</w:t>
      </w:r>
      <w:bookmarkStart w:id="4" w:name="_GoBack"/>
      <w:bookmarkEnd w:id="4"/>
    </w:p>
    <w:p w14:paraId="7A7D9D01">
      <w:pPr>
        <w:spacing w:line="540" w:lineRule="exact"/>
        <w:ind w:firstLine="1890"/>
        <w:rPr>
          <w:rFonts w:ascii="宋体" w:hAnsi="宋体"/>
          <w:color w:val="000000"/>
          <w:sz w:val="24"/>
        </w:rPr>
      </w:pPr>
    </w:p>
    <w:p w14:paraId="36189EAE">
      <w:pPr>
        <w:tabs>
          <w:tab w:val="left" w:pos="2700"/>
        </w:tabs>
        <w:spacing w:line="540" w:lineRule="exact"/>
        <w:ind w:firstLine="720" w:firstLineChars="300"/>
        <w:rPr>
          <w:rFonts w:ascii="宋体" w:hAnsi="宋体"/>
          <w:color w:val="000000"/>
          <w:position w:val="14"/>
          <w:sz w:val="24"/>
        </w:rPr>
      </w:pPr>
      <w:r>
        <w:rPr>
          <w:rFonts w:ascii="宋体" w:hAnsi="宋体"/>
          <w:color w:val="000000"/>
          <w:position w:val="14"/>
          <w:sz w:val="24"/>
        </w:rPr>
        <mc:AlternateContent>
          <mc:Choice Requires="wps">
            <w:drawing>
              <wp:anchor distT="0" distB="0" distL="114300" distR="114300" simplePos="0" relativeHeight="251665408" behindDoc="0" locked="0" layoutInCell="1" allowOverlap="1">
                <wp:simplePos x="0" y="0"/>
                <wp:positionH relativeFrom="column">
                  <wp:posOffset>2286000</wp:posOffset>
                </wp:positionH>
                <wp:positionV relativeFrom="paragraph">
                  <wp:posOffset>306705</wp:posOffset>
                </wp:positionV>
                <wp:extent cx="1814195" cy="3810"/>
                <wp:effectExtent l="0" t="0" r="0" b="0"/>
                <wp:wrapNone/>
                <wp:docPr id="8" name="任意多边形 5"/>
                <wp:cNvGraphicFramePr/>
                <a:graphic xmlns:a="http://schemas.openxmlformats.org/drawingml/2006/main">
                  <a:graphicData uri="http://schemas.microsoft.com/office/word/2010/wordprocessingShape">
                    <wps:wsp>
                      <wps:cNvSpPr/>
                      <wps:spPr>
                        <a:xfrm>
                          <a:off x="0" y="0"/>
                          <a:ext cx="1814195" cy="3810"/>
                        </a:xfrm>
                        <a:custGeom>
                          <a:avLst/>
                          <a:gdLst/>
                          <a:ahLst/>
                          <a:cxnLst/>
                          <a:rect l="0" t="0" r="0" b="0"/>
                          <a:pathLst>
                            <a:path w="2857" h="6">
                              <a:moveTo>
                                <a:pt x="0" y="0"/>
                              </a:moveTo>
                              <a:lnTo>
                                <a:pt x="2857" y="6"/>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5" o:spid="_x0000_s1026" o:spt="100" style="position:absolute;left:0pt;margin-left:180pt;margin-top:24.15pt;height:0.3pt;width:142.85pt;z-index:251665408;mso-width-relative:page;mso-height-relative:page;" filled="f" stroked="t" coordsize="2857,6" o:gfxdata="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nj4Ri1wAAAAkBAAAPAAAAAAAAAAEAIAAAACIAAABkcnMvZG93&#10;bnJldi54bWxQSwECFAAUAAAACACHTuJAw/JGPToCAACsBAAADgAAAAAAAAABACAAAAAmAQAAZHJz&#10;L2Uyb0RvYy54bWxQSwUGAAAAAAYABgBZAQAA0gUAAAAA&#10;" path="m0,0l2857,6e">
                <v:fill on="f" focussize="0,0"/>
                <v:stroke color="#000000" joinstyle="round"/>
                <v:imagedata o:title=""/>
                <o:lock v:ext="edit" aspectratio="f"/>
              </v:shape>
            </w:pict>
          </mc:Fallback>
        </mc:AlternateContent>
      </w:r>
      <w:r>
        <w:rPr>
          <w:rFonts w:hint="eastAsia" w:ascii="宋体" w:hAnsi="宋体"/>
          <w:color w:val="000000"/>
          <w:position w:val="14"/>
          <w:sz w:val="24"/>
        </w:rPr>
        <w:t>投标总价（小写）：</w:t>
      </w:r>
    </w:p>
    <w:p w14:paraId="14119B12">
      <w:pPr>
        <w:tabs>
          <w:tab w:val="left" w:pos="2700"/>
          <w:tab w:val="left" w:pos="3600"/>
        </w:tabs>
        <w:spacing w:line="540" w:lineRule="exact"/>
        <w:ind w:firstLine="1680" w:firstLineChars="700"/>
        <w:rPr>
          <w:rFonts w:ascii="宋体" w:hAnsi="宋体"/>
          <w:color w:val="000000"/>
          <w:position w:val="-8"/>
          <w:sz w:val="24"/>
        </w:rPr>
      </w:pPr>
      <w:r>
        <w:rPr>
          <w:rFonts w:hint="eastAsia" w:ascii="宋体" w:hAnsi="宋体"/>
          <w:color w:val="000000"/>
          <w:position w:val="-8"/>
          <w:sz w:val="24"/>
        </w:rPr>
        <w:t>（大写）：</w:t>
      </w:r>
    </w:p>
    <w:p w14:paraId="7D1C2885">
      <w:pPr>
        <w:spacing w:line="540" w:lineRule="exact"/>
        <w:ind w:firstLine="2500"/>
        <w:rPr>
          <w:rFonts w:ascii="宋体" w:hAnsi="宋体"/>
          <w:b/>
          <w:color w:val="000000"/>
          <w:position w:val="16"/>
          <w:sz w:val="24"/>
        </w:rPr>
      </w:pPr>
      <w:r>
        <w:rPr>
          <w:rFonts w:ascii="宋体" w:hAnsi="宋体"/>
          <w:color w:val="000000"/>
          <w:position w:val="16"/>
          <w:sz w:val="24"/>
        </w:rPr>
        <mc:AlternateContent>
          <mc:Choice Requires="wps">
            <w:drawing>
              <wp:anchor distT="0" distB="0" distL="114300" distR="114300" simplePos="0" relativeHeight="251666432" behindDoc="0" locked="0" layoutInCell="1" allowOverlap="1">
                <wp:simplePos x="0" y="0"/>
                <wp:positionH relativeFrom="column">
                  <wp:posOffset>2286000</wp:posOffset>
                </wp:positionH>
                <wp:positionV relativeFrom="paragraph">
                  <wp:posOffset>43815</wp:posOffset>
                </wp:positionV>
                <wp:extent cx="1823720" cy="1905"/>
                <wp:effectExtent l="0" t="0" r="0" b="0"/>
                <wp:wrapNone/>
                <wp:docPr id="9" name="任意多边形 6"/>
                <wp:cNvGraphicFramePr/>
                <a:graphic xmlns:a="http://schemas.openxmlformats.org/drawingml/2006/main">
                  <a:graphicData uri="http://schemas.microsoft.com/office/word/2010/wordprocessingShape">
                    <wps:wsp>
                      <wps:cNvSpPr/>
                      <wps:spPr>
                        <a:xfrm>
                          <a:off x="0" y="0"/>
                          <a:ext cx="1823720" cy="1905"/>
                        </a:xfrm>
                        <a:custGeom>
                          <a:avLst/>
                          <a:gdLst/>
                          <a:ahLst/>
                          <a:cxnLst/>
                          <a:rect l="0" t="0" r="0" b="0"/>
                          <a:pathLst>
                            <a:path w="2872" h="3">
                              <a:moveTo>
                                <a:pt x="0" y="3"/>
                              </a:moveTo>
                              <a:lnTo>
                                <a:pt x="2872" y="0"/>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6" o:spid="_x0000_s1026" o:spt="100" style="position:absolute;left:0pt;margin-left:180pt;margin-top:3.45pt;height:0.15pt;width:143.6pt;z-index:251666432;mso-width-relative:page;mso-height-relative:page;" filled="f" stroked="t" coordsize="2872,3" o:gfxdata="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XpUus1wAAAAcBAAAPAAAAAAAAAAEAIAAAACIAAABkcnMvZG93&#10;bnJldi54bWxQSwECFAAUAAAACACHTuJAdhUEzzoCAACsBAAADgAAAAAAAAABACAAAAAmAQAAZHJz&#10;L2Uyb0RvYy54bWxQSwUGAAAAAAYABgBZAQAA0gUAAAAA&#10;" path="m0,3l2872,0e">
                <v:fill on="f" focussize="0,0"/>
                <v:stroke color="#000000" joinstyle="round"/>
                <v:imagedata o:title=""/>
                <o:lock v:ext="edit" aspectratio="f"/>
              </v:shape>
            </w:pict>
          </mc:Fallback>
        </mc:AlternateContent>
      </w:r>
    </w:p>
    <w:p w14:paraId="3963D117">
      <w:pPr>
        <w:tabs>
          <w:tab w:val="left" w:pos="6300"/>
          <w:tab w:val="left" w:pos="6480"/>
          <w:tab w:val="left" w:pos="6660"/>
          <w:tab w:val="left" w:pos="6840"/>
        </w:tabs>
        <w:spacing w:line="300" w:lineRule="auto"/>
        <w:rPr>
          <w:rFonts w:ascii="宋体" w:hAnsi="宋体"/>
          <w:color w:val="000000"/>
          <w:sz w:val="24"/>
        </w:rPr>
      </w:pPr>
    </w:p>
    <w:p w14:paraId="31440F2D">
      <w:pPr>
        <w:spacing w:line="300" w:lineRule="auto"/>
        <w:ind w:firstLine="984" w:firstLineChars="300"/>
        <w:rPr>
          <w:rFonts w:ascii="宋体" w:hAnsi="宋体"/>
          <w:color w:val="000000"/>
          <w:sz w:val="24"/>
        </w:rPr>
      </w:pPr>
      <w:r>
        <w:rPr>
          <w:rFonts w:ascii="宋体" w:hAnsi="宋体"/>
          <w:color w:val="000000"/>
          <w:spacing w:val="44"/>
          <w:sz w:val="24"/>
          <w:szCs w:val="28"/>
        </w:rPr>
        <mc:AlternateContent>
          <mc:Choice Requires="wps">
            <w:drawing>
              <wp:anchor distT="0" distB="0" distL="114300" distR="114300" simplePos="0" relativeHeight="251660288" behindDoc="0" locked="0" layoutInCell="1" allowOverlap="1">
                <wp:simplePos x="0" y="0"/>
                <wp:positionH relativeFrom="column">
                  <wp:posOffset>1718945</wp:posOffset>
                </wp:positionH>
                <wp:positionV relativeFrom="paragraph">
                  <wp:posOffset>314325</wp:posOffset>
                </wp:positionV>
                <wp:extent cx="2395855" cy="3810"/>
                <wp:effectExtent l="0" t="0" r="0" b="0"/>
                <wp:wrapNone/>
                <wp:docPr id="4" name="任意多边形 7"/>
                <wp:cNvGraphicFramePr/>
                <a:graphic xmlns:a="http://schemas.openxmlformats.org/drawingml/2006/main">
                  <a:graphicData uri="http://schemas.microsoft.com/office/word/2010/wordprocessingShape">
                    <wps:wsp>
                      <wps:cNvSpPr/>
                      <wps:spPr>
                        <a:xfrm>
                          <a:off x="0" y="0"/>
                          <a:ext cx="2395855" cy="3810"/>
                        </a:xfrm>
                        <a:custGeom>
                          <a:avLst/>
                          <a:gdLst/>
                          <a:ahLst/>
                          <a:cxnLst/>
                          <a:rect l="0" t="0" r="0" b="0"/>
                          <a:pathLst>
                            <a:path w="3773" h="6">
                              <a:moveTo>
                                <a:pt x="0" y="0"/>
                              </a:moveTo>
                              <a:lnTo>
                                <a:pt x="3773" y="6"/>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7" o:spid="_x0000_s1026" o:spt="100" style="position:absolute;left:0pt;margin-left:135.35pt;margin-top:24.75pt;height:0.3pt;width:188.65pt;z-index:251660288;mso-width-relative:page;mso-height-relative:page;" filled="f" stroked="t" coordsize="3773,6" o:gfxdata="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N+hNB2gAAAAkBAAAPAAAAAAAAAAEAIAAAACIAAABkcnMv&#10;ZG93bnJldi54bWxQSwECFAAUAAAACACHTuJAtcdR5joCAACsBAAADgAAAAAAAAABACAAAAApAQAA&#10;ZHJzL2Uyb0RvYy54bWxQSwUGAAAAAAYABgBZAQAA1QUAAAAA&#10;" path="m0,0l3773,6e">
                <v:fill on="f" focussize="0,0"/>
                <v:stroke color="#000000" joinstyle="round"/>
                <v:imagedata o:title=""/>
                <o:lock v:ext="edit" aspectratio="f"/>
              </v:shape>
            </w:pict>
          </mc:Fallback>
        </mc:AlternateContent>
      </w:r>
      <w:r>
        <w:rPr>
          <w:rFonts w:hint="eastAsia" w:ascii="宋体" w:hAnsi="宋体"/>
          <w:color w:val="000000"/>
          <w:spacing w:val="44"/>
          <w:sz w:val="24"/>
          <w:szCs w:val="28"/>
        </w:rPr>
        <w:t>投 标 人：</w:t>
      </w:r>
      <w:r>
        <w:rPr>
          <w:rFonts w:hint="eastAsia" w:ascii="宋体" w:hAnsi="宋体"/>
          <w:color w:val="000000"/>
          <w:sz w:val="24"/>
        </w:rPr>
        <w:t xml:space="preserve">                    　　　　　　　(单位签字盖章)</w:t>
      </w:r>
    </w:p>
    <w:p w14:paraId="6D25ACC3">
      <w:pPr>
        <w:spacing w:line="300" w:lineRule="auto"/>
        <w:ind w:firstLine="840"/>
        <w:rPr>
          <w:rFonts w:ascii="宋体" w:hAnsi="宋体"/>
          <w:color w:val="000000"/>
          <w:sz w:val="24"/>
        </w:rPr>
      </w:pPr>
    </w:p>
    <w:p w14:paraId="1CA8FCA4">
      <w:pPr>
        <w:spacing w:line="300" w:lineRule="auto"/>
        <w:ind w:firstLine="864" w:firstLineChars="300"/>
        <w:rPr>
          <w:rFonts w:ascii="宋体" w:hAnsi="宋体"/>
          <w:color w:val="000000"/>
          <w:sz w:val="24"/>
        </w:rPr>
      </w:pPr>
      <w:r>
        <w:rPr>
          <w:rFonts w:ascii="宋体" w:hAnsi="宋体"/>
          <w:color w:val="000000"/>
          <w:spacing w:val="24"/>
          <w:sz w:val="24"/>
          <w:szCs w:val="28"/>
        </w:rPr>
        <mc:AlternateContent>
          <mc:Choice Requires="wps">
            <w:drawing>
              <wp:anchor distT="0" distB="0" distL="114300" distR="114300" simplePos="0" relativeHeight="251661312" behindDoc="0" locked="0" layoutInCell="1" allowOverlap="1">
                <wp:simplePos x="0" y="0"/>
                <wp:positionH relativeFrom="column">
                  <wp:posOffset>1709420</wp:posOffset>
                </wp:positionH>
                <wp:positionV relativeFrom="paragraph">
                  <wp:posOffset>271145</wp:posOffset>
                </wp:positionV>
                <wp:extent cx="2391410" cy="3175"/>
                <wp:effectExtent l="0" t="0" r="0" b="0"/>
                <wp:wrapNone/>
                <wp:docPr id="5" name="任意多边形 8"/>
                <wp:cNvGraphicFramePr/>
                <a:graphic xmlns:a="http://schemas.openxmlformats.org/drawingml/2006/main">
                  <a:graphicData uri="http://schemas.microsoft.com/office/word/2010/wordprocessingShape">
                    <wps:wsp>
                      <wps:cNvSpPr/>
                      <wps:spPr>
                        <a:xfrm>
                          <a:off x="0" y="0"/>
                          <a:ext cx="2391410" cy="3175"/>
                        </a:xfrm>
                        <a:custGeom>
                          <a:avLst/>
                          <a:gdLst/>
                          <a:ahLst/>
                          <a:cxnLst/>
                          <a:rect l="0" t="0" r="0" b="0"/>
                          <a:pathLst>
                            <a:path w="3766" h="5">
                              <a:moveTo>
                                <a:pt x="0" y="5"/>
                              </a:moveTo>
                              <a:lnTo>
                                <a:pt x="3766" y="0"/>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8" o:spid="_x0000_s1026" o:spt="100" style="position:absolute;left:0pt;margin-left:134.6pt;margin-top:21.35pt;height:0.25pt;width:188.3pt;z-index:251661312;mso-width-relative:page;mso-height-relative:page;" filled="f" stroked="t" coordsize="3766,5" o:gfxdata="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XQEjm1gAAAAkBAAAPAAAAAAAAAAEAIAAAACIAAABkcnMvZG93bnJl&#10;di54bWxQSwECFAAUAAAACACHTuJA8LQnLDgCAACsBAAADgAAAAAAAAABACAAAAAlAQAAZHJzL2Uy&#10;b0RvYy54bWxQSwUGAAAAAAYABgBZAQAAzwUAAAAA&#10;" path="m0,5l3766,0e">
                <v:fill on="f" focussize="0,0"/>
                <v:stroke color="#000000" joinstyle="round"/>
                <v:imagedata o:title=""/>
                <o:lock v:ext="edit" aspectratio="f"/>
              </v:shape>
            </w:pict>
          </mc:Fallback>
        </mc:AlternateContent>
      </w:r>
      <w:r>
        <w:rPr>
          <w:rFonts w:hint="eastAsia" w:ascii="宋体" w:hAnsi="宋体"/>
          <w:color w:val="000000"/>
          <w:spacing w:val="24"/>
          <w:sz w:val="24"/>
          <w:szCs w:val="28"/>
        </w:rPr>
        <w:t>法定代表人：</w:t>
      </w:r>
      <w:r>
        <w:rPr>
          <w:rFonts w:hint="eastAsia" w:ascii="宋体" w:hAnsi="宋体"/>
          <w:color w:val="000000"/>
          <w:sz w:val="24"/>
        </w:rPr>
        <w:t xml:space="preserve">                          　　　　(签字盖章)</w:t>
      </w:r>
    </w:p>
    <w:p w14:paraId="5A609E49">
      <w:pPr>
        <w:tabs>
          <w:tab w:val="left" w:pos="2700"/>
        </w:tabs>
        <w:spacing w:line="300" w:lineRule="auto"/>
        <w:ind w:left="-1" w:leftChars="-1" w:hanging="1"/>
        <w:rPr>
          <w:rFonts w:ascii="宋体" w:hAnsi="宋体"/>
          <w:color w:val="000000"/>
          <w:sz w:val="24"/>
        </w:rPr>
      </w:pPr>
    </w:p>
    <w:p w14:paraId="3220F6FC">
      <w:pPr>
        <w:spacing w:line="300" w:lineRule="auto"/>
        <w:ind w:firstLine="700" w:firstLineChars="250"/>
        <w:rPr>
          <w:rFonts w:ascii="宋体" w:hAnsi="宋体"/>
          <w:color w:val="000000"/>
          <w:spacing w:val="20"/>
          <w:sz w:val="24"/>
          <w:szCs w:val="28"/>
        </w:rPr>
      </w:pPr>
      <w:r>
        <w:rPr>
          <w:rFonts w:hint="eastAsia" w:ascii="宋体" w:hAnsi="宋体"/>
          <w:color w:val="000000"/>
          <w:spacing w:val="20"/>
          <w:sz w:val="24"/>
          <w:szCs w:val="28"/>
        </w:rPr>
        <w:t>造价工程师</w:t>
      </w:r>
      <w:r>
        <w:rPr>
          <w:rFonts w:hint="eastAsia" w:ascii="宋体" w:hAnsi="宋体"/>
          <w:color w:val="000000"/>
          <w:sz w:val="24"/>
        </w:rPr>
        <w:t>（造价编审人员）</w:t>
      </w:r>
    </w:p>
    <w:p w14:paraId="5DDF76C6">
      <w:pPr>
        <w:spacing w:line="300" w:lineRule="auto"/>
        <w:ind w:firstLine="840" w:firstLineChars="300"/>
        <w:rPr>
          <w:rFonts w:ascii="宋体" w:hAnsi="宋体"/>
          <w:color w:val="000000"/>
          <w:sz w:val="24"/>
        </w:rPr>
      </w:pPr>
      <w:r>
        <w:rPr>
          <w:rFonts w:ascii="宋体" w:hAnsi="宋体"/>
          <w:color w:val="000000"/>
          <w:spacing w:val="20"/>
          <w:sz w:val="24"/>
          <w:szCs w:val="28"/>
        </w:rPr>
        <mc:AlternateContent>
          <mc:Choice Requires="wps">
            <w:drawing>
              <wp:anchor distT="0" distB="0" distL="114300" distR="114300" simplePos="0" relativeHeight="251662336" behindDoc="0" locked="0" layoutInCell="1" allowOverlap="1">
                <wp:simplePos x="0" y="0"/>
                <wp:positionH relativeFrom="column">
                  <wp:posOffset>2642870</wp:posOffset>
                </wp:positionH>
                <wp:positionV relativeFrom="paragraph">
                  <wp:posOffset>320040</wp:posOffset>
                </wp:positionV>
                <wp:extent cx="1485900" cy="0"/>
                <wp:effectExtent l="0" t="4445" r="0" b="5080"/>
                <wp:wrapNone/>
                <wp:docPr id="6" name="直线 9"/>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208.1pt;margin-top:25.2pt;height:0pt;width:117pt;z-index:251662336;mso-width-relative:page;mso-height-relative:page;" filled="f" stroked="t" coordsize="21600,21600" o:gfxdata="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W+pYrWAAAACQEAAA8A&#10;AAAAAAAAAQAgAAAAIgAAAGRycy9kb3ducmV2LnhtbFBLAQIUABQAAAAIAIdO4kDDhExW4AEAAM8D&#10;AAAOAAAAAAAAAAEAIAAAACUBAABkcnMvZTJvRG9jLnhtbFBLBQYAAAAABgAGAFkBAAB3BQAAAAA=&#10;">
                <v:fill on="f" focussize="0,0"/>
                <v:stroke color="#000000" joinstyle="round"/>
                <v:imagedata o:title=""/>
                <o:lock v:ext="edit" aspectratio="f"/>
              </v:line>
            </w:pict>
          </mc:Fallback>
        </mc:AlternateContent>
      </w:r>
      <w:r>
        <w:rPr>
          <w:rFonts w:hint="eastAsia" w:ascii="宋体" w:hAnsi="宋体"/>
          <w:color w:val="000000"/>
          <w:spacing w:val="20"/>
          <w:sz w:val="24"/>
          <w:szCs w:val="28"/>
        </w:rPr>
        <w:t>及注册证号（编审章）：</w:t>
      </w:r>
      <w:r>
        <w:rPr>
          <w:rFonts w:hint="eastAsia" w:ascii="宋体" w:hAnsi="宋体"/>
          <w:color w:val="000000"/>
          <w:sz w:val="24"/>
        </w:rPr>
        <w:t xml:space="preserve">               　　　　 (签字盖执业专用章)</w:t>
      </w:r>
    </w:p>
    <w:p w14:paraId="765EB2F7">
      <w:pPr>
        <w:spacing w:line="300" w:lineRule="auto"/>
        <w:rPr>
          <w:rFonts w:ascii="宋体" w:hAnsi="宋体"/>
          <w:color w:val="000000"/>
          <w:sz w:val="24"/>
        </w:rPr>
      </w:pPr>
      <w:r>
        <w:rPr>
          <w:rFonts w:hint="eastAsia" w:ascii="宋体" w:hAnsi="宋体"/>
          <w:color w:val="000000"/>
          <w:sz w:val="24"/>
        </w:rPr>
        <w:t xml:space="preserve">   </w:t>
      </w:r>
    </w:p>
    <w:p w14:paraId="0FFEC86A">
      <w:pPr>
        <w:spacing w:line="300" w:lineRule="auto"/>
        <w:ind w:firstLine="720" w:firstLineChars="300"/>
        <w:rPr>
          <w:rFonts w:ascii="宋体" w:hAnsi="宋体"/>
          <w:color w:val="000000"/>
          <w:sz w:val="24"/>
        </w:rPr>
      </w:pPr>
      <w:r>
        <w:rPr>
          <w:rFonts w:ascii="宋体" w:hAnsi="宋体"/>
          <w:color w:val="000000"/>
          <w:sz w:val="24"/>
        </w:rPr>
        <mc:AlternateContent>
          <mc:Choice Requires="wps">
            <w:drawing>
              <wp:anchor distT="0" distB="0" distL="114300" distR="114300" simplePos="0" relativeHeight="251663360" behindDoc="0" locked="0" layoutInCell="1" allowOverlap="1">
                <wp:simplePos x="0" y="0"/>
                <wp:positionH relativeFrom="column">
                  <wp:posOffset>1709420</wp:posOffset>
                </wp:positionH>
                <wp:positionV relativeFrom="paragraph">
                  <wp:posOffset>293370</wp:posOffset>
                </wp:positionV>
                <wp:extent cx="2405380" cy="4445"/>
                <wp:effectExtent l="0" t="0" r="0" b="0"/>
                <wp:wrapNone/>
                <wp:docPr id="10" name="任意多边形 10"/>
                <wp:cNvGraphicFramePr/>
                <a:graphic xmlns:a="http://schemas.openxmlformats.org/drawingml/2006/main">
                  <a:graphicData uri="http://schemas.microsoft.com/office/word/2010/wordprocessingShape">
                    <wps:wsp>
                      <wps:cNvSpPr/>
                      <wps:spPr>
                        <a:xfrm>
                          <a:off x="0" y="0"/>
                          <a:ext cx="2405380" cy="4445"/>
                        </a:xfrm>
                        <a:custGeom>
                          <a:avLst/>
                          <a:gdLst/>
                          <a:ahLst/>
                          <a:cxnLst/>
                          <a:rect l="0" t="0" r="0" b="0"/>
                          <a:pathLst>
                            <a:path w="3788" h="7">
                              <a:moveTo>
                                <a:pt x="0" y="0"/>
                              </a:moveTo>
                              <a:lnTo>
                                <a:pt x="3788" y="7"/>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34.6pt;margin-top:23.1pt;height:0.35pt;width:189.4pt;z-index:251663360;mso-width-relative:page;mso-height-relative:page;" filled="f" stroked="t" coordsize="3788,7" o:gfxdata="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mKbRXaAAAACQEAAA8AAAAAAAAAAQAgAAAAIgAAAGRy&#10;cy9kb3ducmV2LnhtbFBLAQIUABQAAAAIAIdO4kBsyLrGPAIAAK4EAAAOAAAAAAAAAAEAIAAAACkB&#10;AABkcnMvZTJvRG9jLnhtbFBLBQYAAAAABgAGAFkBAADXBQAAAAA=&#10;" path="m0,0l3788,7e">
                <v:fill on="f" focussize="0,0"/>
                <v:stroke color="#000000" joinstyle="round"/>
                <v:imagedata o:title=""/>
                <o:lock v:ext="edit" aspectratio="f"/>
              </v:shape>
            </w:pict>
          </mc:Fallback>
        </mc:AlternateContent>
      </w:r>
      <w:r>
        <w:rPr>
          <w:rFonts w:hint="eastAsia" w:ascii="宋体" w:hAnsi="宋体"/>
          <w:color w:val="000000"/>
          <w:sz w:val="24"/>
        </w:rPr>
        <w:t>编 制 时 间：</w:t>
      </w:r>
    </w:p>
    <w:p w14:paraId="75144C65">
      <w:pPr>
        <w:spacing w:line="300" w:lineRule="auto"/>
        <w:rPr>
          <w:rFonts w:ascii="宋体" w:hAnsi="宋体"/>
          <w:color w:val="000000"/>
          <w:sz w:val="28"/>
        </w:rPr>
      </w:pPr>
    </w:p>
    <w:p w14:paraId="5AE86BBC">
      <w:pPr>
        <w:pStyle w:val="2"/>
        <w:rPr>
          <w:rFonts w:asciiTheme="minorEastAsia" w:hAnsiTheme="minorEastAsia" w:eastAsiaTheme="minorEastAsia"/>
          <w:b w:val="0"/>
          <w:sz w:val="21"/>
          <w:szCs w:val="21"/>
        </w:rPr>
      </w:pPr>
      <w:bookmarkStart w:id="3" w:name="_Toc24642"/>
    </w:p>
    <w:p w14:paraId="7B8D6A39">
      <w:pPr>
        <w:pStyle w:val="2"/>
        <w:rPr>
          <w:rFonts w:asciiTheme="minorEastAsia" w:hAnsiTheme="minorEastAsia" w:eastAsiaTheme="minorEastAsia"/>
          <w:b w:val="0"/>
          <w:sz w:val="21"/>
          <w:szCs w:val="21"/>
        </w:rPr>
      </w:pPr>
    </w:p>
    <w:bookmarkEnd w:id="3"/>
    <w:p w14:paraId="70AA1A8F">
      <w:pPr>
        <w:spacing w:line="360" w:lineRule="auto"/>
        <w:ind w:firstLine="360" w:firstLineChars="150"/>
        <w:rPr>
          <w:sz w:val="24"/>
        </w:rPr>
      </w:pPr>
    </w:p>
    <w:p w14:paraId="3314C964">
      <w:pPr>
        <w:spacing w:line="360" w:lineRule="auto"/>
        <w:ind w:firstLine="360" w:firstLineChars="150"/>
        <w:rPr>
          <w:sz w:val="24"/>
        </w:rPr>
      </w:pPr>
    </w:p>
    <w:bookmarkEnd w:id="0"/>
    <w:bookmarkEnd w:id="1"/>
    <w:bookmarkEnd w:id="2"/>
    <w:p w14:paraId="5993F7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4EB081"/>
    <w:multiLevelType w:val="singleLevel"/>
    <w:tmpl w:val="A74EB081"/>
    <w:lvl w:ilvl="0" w:tentative="0">
      <w:start w:val="1"/>
      <w:numFmt w:val="chineseCounting"/>
      <w:suff w:val="nothing"/>
      <w:lvlText w:val="%1、"/>
      <w:lvlJc w:val="left"/>
      <w:rPr>
        <w:rFonts w:hint="eastAsia"/>
      </w:rPr>
    </w:lvl>
  </w:abstractNum>
  <w:abstractNum w:abstractNumId="1">
    <w:nsid w:val="2A1F22D4"/>
    <w:multiLevelType w:val="multilevel"/>
    <w:tmpl w:val="2A1F22D4"/>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wNTgyYjQxOWFmZDc4M2FhY2IzOWNmNDM5ODg4NjYifQ=="/>
  </w:docVars>
  <w:rsids>
    <w:rsidRoot w:val="00A653A1"/>
    <w:rsid w:val="000400B4"/>
    <w:rsid w:val="00047B05"/>
    <w:rsid w:val="000B4FB0"/>
    <w:rsid w:val="000C0BC6"/>
    <w:rsid w:val="000C1408"/>
    <w:rsid w:val="000C433D"/>
    <w:rsid w:val="000D65A8"/>
    <w:rsid w:val="00136C21"/>
    <w:rsid w:val="0016296F"/>
    <w:rsid w:val="0016313E"/>
    <w:rsid w:val="001638DA"/>
    <w:rsid w:val="00181912"/>
    <w:rsid w:val="00184FF8"/>
    <w:rsid w:val="001B1F50"/>
    <w:rsid w:val="001F5C8B"/>
    <w:rsid w:val="002303D6"/>
    <w:rsid w:val="00242937"/>
    <w:rsid w:val="0025398E"/>
    <w:rsid w:val="00263233"/>
    <w:rsid w:val="00270AF1"/>
    <w:rsid w:val="0029321C"/>
    <w:rsid w:val="002A47A1"/>
    <w:rsid w:val="002E0784"/>
    <w:rsid w:val="002F0E8A"/>
    <w:rsid w:val="002F25B8"/>
    <w:rsid w:val="002F3F17"/>
    <w:rsid w:val="00340E8B"/>
    <w:rsid w:val="00341004"/>
    <w:rsid w:val="00343232"/>
    <w:rsid w:val="003566DE"/>
    <w:rsid w:val="003605F9"/>
    <w:rsid w:val="003849A9"/>
    <w:rsid w:val="00396F00"/>
    <w:rsid w:val="003E7553"/>
    <w:rsid w:val="00414569"/>
    <w:rsid w:val="00426627"/>
    <w:rsid w:val="0047057C"/>
    <w:rsid w:val="00486F66"/>
    <w:rsid w:val="004A39F3"/>
    <w:rsid w:val="004A5981"/>
    <w:rsid w:val="004A5B76"/>
    <w:rsid w:val="004A7B35"/>
    <w:rsid w:val="004F4284"/>
    <w:rsid w:val="005109E6"/>
    <w:rsid w:val="00510D8D"/>
    <w:rsid w:val="00513DAB"/>
    <w:rsid w:val="00515308"/>
    <w:rsid w:val="005208A7"/>
    <w:rsid w:val="00527F3A"/>
    <w:rsid w:val="0055085B"/>
    <w:rsid w:val="005527D3"/>
    <w:rsid w:val="005B455F"/>
    <w:rsid w:val="005E1DAE"/>
    <w:rsid w:val="00604147"/>
    <w:rsid w:val="00625271"/>
    <w:rsid w:val="00637513"/>
    <w:rsid w:val="006419E8"/>
    <w:rsid w:val="006425AD"/>
    <w:rsid w:val="00645290"/>
    <w:rsid w:val="00671F8C"/>
    <w:rsid w:val="00675B34"/>
    <w:rsid w:val="0068185C"/>
    <w:rsid w:val="0068398C"/>
    <w:rsid w:val="006F34BB"/>
    <w:rsid w:val="00701B4F"/>
    <w:rsid w:val="007068C1"/>
    <w:rsid w:val="0076409F"/>
    <w:rsid w:val="00781253"/>
    <w:rsid w:val="007D6CED"/>
    <w:rsid w:val="007E1D24"/>
    <w:rsid w:val="007E4ACB"/>
    <w:rsid w:val="00800B7C"/>
    <w:rsid w:val="00855348"/>
    <w:rsid w:val="00895727"/>
    <w:rsid w:val="008B2665"/>
    <w:rsid w:val="008D156A"/>
    <w:rsid w:val="00902E49"/>
    <w:rsid w:val="00904DAE"/>
    <w:rsid w:val="0095455E"/>
    <w:rsid w:val="0098504A"/>
    <w:rsid w:val="0099275C"/>
    <w:rsid w:val="009A573C"/>
    <w:rsid w:val="009E5D26"/>
    <w:rsid w:val="00A1612B"/>
    <w:rsid w:val="00A424E1"/>
    <w:rsid w:val="00A478D9"/>
    <w:rsid w:val="00A50395"/>
    <w:rsid w:val="00A55E44"/>
    <w:rsid w:val="00A56A9A"/>
    <w:rsid w:val="00A653A1"/>
    <w:rsid w:val="00A86AA7"/>
    <w:rsid w:val="00B4558B"/>
    <w:rsid w:val="00B947F3"/>
    <w:rsid w:val="00B97B2C"/>
    <w:rsid w:val="00C01ED0"/>
    <w:rsid w:val="00C11C1C"/>
    <w:rsid w:val="00C204B2"/>
    <w:rsid w:val="00C43778"/>
    <w:rsid w:val="00C536DD"/>
    <w:rsid w:val="00C537BA"/>
    <w:rsid w:val="00C60D6A"/>
    <w:rsid w:val="00C9267F"/>
    <w:rsid w:val="00C92DB9"/>
    <w:rsid w:val="00CB2FAA"/>
    <w:rsid w:val="00CD2718"/>
    <w:rsid w:val="00CE3F96"/>
    <w:rsid w:val="00CE6C95"/>
    <w:rsid w:val="00CE7839"/>
    <w:rsid w:val="00D115A6"/>
    <w:rsid w:val="00D76E90"/>
    <w:rsid w:val="00D84E44"/>
    <w:rsid w:val="00D93784"/>
    <w:rsid w:val="00DB6746"/>
    <w:rsid w:val="00DC78BF"/>
    <w:rsid w:val="00E338F6"/>
    <w:rsid w:val="00E71348"/>
    <w:rsid w:val="00E768BF"/>
    <w:rsid w:val="00EB029A"/>
    <w:rsid w:val="00EB05D1"/>
    <w:rsid w:val="00EB64B8"/>
    <w:rsid w:val="00ED2D9D"/>
    <w:rsid w:val="00F06066"/>
    <w:rsid w:val="00F30E5E"/>
    <w:rsid w:val="00F51612"/>
    <w:rsid w:val="00F767A1"/>
    <w:rsid w:val="00F919DE"/>
    <w:rsid w:val="00FE1C66"/>
    <w:rsid w:val="02013BF3"/>
    <w:rsid w:val="0323798E"/>
    <w:rsid w:val="04B66E99"/>
    <w:rsid w:val="05047EDD"/>
    <w:rsid w:val="061C5134"/>
    <w:rsid w:val="07634BF4"/>
    <w:rsid w:val="076F17EB"/>
    <w:rsid w:val="0A1821F7"/>
    <w:rsid w:val="0AFB3396"/>
    <w:rsid w:val="0BA852CC"/>
    <w:rsid w:val="0C2B3807"/>
    <w:rsid w:val="0E767DD5"/>
    <w:rsid w:val="0FDF5C92"/>
    <w:rsid w:val="13A740BB"/>
    <w:rsid w:val="15226E26"/>
    <w:rsid w:val="1653052A"/>
    <w:rsid w:val="175D1093"/>
    <w:rsid w:val="1AAF5D71"/>
    <w:rsid w:val="2039796E"/>
    <w:rsid w:val="20BC3ABB"/>
    <w:rsid w:val="229D5007"/>
    <w:rsid w:val="27F21A55"/>
    <w:rsid w:val="2841576D"/>
    <w:rsid w:val="2A3B21CA"/>
    <w:rsid w:val="2A6B6A62"/>
    <w:rsid w:val="2B11210D"/>
    <w:rsid w:val="2E2A66CA"/>
    <w:rsid w:val="30550CCF"/>
    <w:rsid w:val="322A04DB"/>
    <w:rsid w:val="3267118D"/>
    <w:rsid w:val="33DC1EA3"/>
    <w:rsid w:val="359A53D6"/>
    <w:rsid w:val="36A007CA"/>
    <w:rsid w:val="37FE31CB"/>
    <w:rsid w:val="3B722D63"/>
    <w:rsid w:val="3B9603B4"/>
    <w:rsid w:val="3C074582"/>
    <w:rsid w:val="3C8025FC"/>
    <w:rsid w:val="412A12FE"/>
    <w:rsid w:val="42AC201B"/>
    <w:rsid w:val="44F3240C"/>
    <w:rsid w:val="45181E73"/>
    <w:rsid w:val="47B6609F"/>
    <w:rsid w:val="48EB7601"/>
    <w:rsid w:val="4BE33DD6"/>
    <w:rsid w:val="4CEA733F"/>
    <w:rsid w:val="4D1675E0"/>
    <w:rsid w:val="4D2006BB"/>
    <w:rsid w:val="4D7C3A57"/>
    <w:rsid w:val="4DB7491F"/>
    <w:rsid w:val="4EB27C5E"/>
    <w:rsid w:val="4F4641AC"/>
    <w:rsid w:val="4F677D16"/>
    <w:rsid w:val="50D70E34"/>
    <w:rsid w:val="552945CC"/>
    <w:rsid w:val="55592A2E"/>
    <w:rsid w:val="56AB6FEB"/>
    <w:rsid w:val="582B2191"/>
    <w:rsid w:val="5930290B"/>
    <w:rsid w:val="597F0381"/>
    <w:rsid w:val="5EAE4878"/>
    <w:rsid w:val="68FD28E2"/>
    <w:rsid w:val="696B7D22"/>
    <w:rsid w:val="69814FA1"/>
    <w:rsid w:val="69B14380"/>
    <w:rsid w:val="69C02956"/>
    <w:rsid w:val="69D50DF1"/>
    <w:rsid w:val="6AC442F0"/>
    <w:rsid w:val="6C530A39"/>
    <w:rsid w:val="6C8934D3"/>
    <w:rsid w:val="6DEB35C4"/>
    <w:rsid w:val="6FB4784B"/>
    <w:rsid w:val="76197675"/>
    <w:rsid w:val="78AB7F66"/>
    <w:rsid w:val="7B82052E"/>
    <w:rsid w:val="7CAC52E5"/>
    <w:rsid w:val="7EAA17B2"/>
    <w:rsid w:val="7F907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unhideWhenUsed/>
    <w:qFormat/>
    <w:uiPriority w:val="9"/>
    <w:pPr>
      <w:keepNext/>
      <w:keepLines/>
      <w:spacing w:before="260" w:after="260" w:line="416" w:lineRule="auto"/>
      <w:outlineLvl w:val="1"/>
    </w:pPr>
    <w:rPr>
      <w:rFonts w:ascii="Calibri Light" w:hAnsi="Calibri Light"/>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link w:val="16"/>
    <w:unhideWhenUsed/>
    <w:qFormat/>
    <w:uiPriority w:val="0"/>
    <w:pPr>
      <w:spacing w:after="120"/>
    </w:pPr>
  </w:style>
  <w:style w:type="paragraph" w:styleId="5">
    <w:name w:val="Block Text"/>
    <w:basedOn w:val="1"/>
    <w:unhideWhenUsed/>
    <w:qFormat/>
    <w:uiPriority w:val="99"/>
    <w:pPr>
      <w:spacing w:after="120"/>
      <w:ind w:left="1440" w:leftChars="700" w:right="1440" w:rightChars="700"/>
    </w:pPr>
    <w:rPr>
      <w:rFonts w:ascii="Calibri" w:hAnsi="Calibri"/>
      <w:szCs w:val="20"/>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标题 2 Char"/>
    <w:basedOn w:val="10"/>
    <w:link w:val="2"/>
    <w:qFormat/>
    <w:uiPriority w:val="9"/>
    <w:rPr>
      <w:rFonts w:ascii="Calibri Light" w:hAnsi="Calibri Light" w:eastAsia="宋体" w:cs="Times New Roman"/>
      <w:b/>
      <w:bCs/>
      <w:sz w:val="32"/>
      <w:szCs w:val="32"/>
    </w:rPr>
  </w:style>
  <w:style w:type="paragraph" w:customStyle="1" w:styleId="12">
    <w:name w:val="普通文字"/>
    <w:basedOn w:val="1"/>
    <w:next w:val="1"/>
    <w:qFormat/>
    <w:uiPriority w:val="0"/>
    <w:rPr>
      <w:rFonts w:ascii="宋体" w:hAnsi="Calibri"/>
      <w:kern w:val="0"/>
      <w:sz w:val="24"/>
      <w:szCs w:val="20"/>
    </w:rPr>
  </w:style>
  <w:style w:type="character" w:customStyle="1" w:styleId="13">
    <w:name w:val="页眉 Char"/>
    <w:basedOn w:val="10"/>
    <w:link w:val="7"/>
    <w:qFormat/>
    <w:uiPriority w:val="99"/>
    <w:rPr>
      <w:rFonts w:ascii="Times New Roman" w:hAnsi="Times New Roman" w:eastAsia="宋体" w:cs="Times New Roman"/>
      <w:sz w:val="18"/>
      <w:szCs w:val="18"/>
    </w:rPr>
  </w:style>
  <w:style w:type="character" w:customStyle="1" w:styleId="14">
    <w:name w:val="页脚 Char"/>
    <w:basedOn w:val="10"/>
    <w:link w:val="6"/>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character" w:customStyle="1" w:styleId="16">
    <w:name w:val="正文文本 Char"/>
    <w:basedOn w:val="10"/>
    <w:link w:val="4"/>
    <w:qFormat/>
    <w:uiPriority w:val="0"/>
    <w:rPr>
      <w:kern w:val="2"/>
      <w:sz w:val="21"/>
      <w:szCs w:val="24"/>
    </w:rPr>
  </w:style>
  <w:style w:type="character" w:customStyle="1" w:styleId="17">
    <w:name w:val="批注文字 Char"/>
    <w:basedOn w:val="10"/>
    <w:link w:val="3"/>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6387</Words>
  <Characters>6549</Characters>
  <Lines>53</Lines>
  <Paragraphs>14</Paragraphs>
  <TotalTime>6</TotalTime>
  <ScaleCrop>false</ScaleCrop>
  <LinksUpToDate>false</LinksUpToDate>
  <CharactersWithSpaces>7263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2023-11-17T09:41:00Z</dcterms:created>
  <dc:creator>dell</dc:creator>
  <cp:lastModifiedBy>袁志良</cp:lastModifiedBy>
  <cp:lastPrinted>2026-01-12T06:40:00Z</cp:lastPrinted>
  <dcterms:modified xsi:type="dcterms:W3CDTF">2026-01-26T09:26:03Z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FFF66661F9A04E7FBFA8A65EA51A2F77_13</vt:lpwstr>
  </property>
</Properties>
</file>